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珠海九通水务股份有限公司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color w:val="0070C0"/>
          <w:spacing w:val="8"/>
        </w:rPr>
      </w:pPr>
      <w:r>
        <w:rPr>
          <w:rFonts w:hint="eastAsia"/>
          <w:color w:val="0070C0"/>
          <w:spacing w:val="8"/>
          <w:shd w:val="clear" w:color="auto" w:fill="FFFFFF"/>
        </w:rPr>
        <w:t>赢特环保科技（无锡）有限公司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ascii="宋体" w:hAnsi="宋体"/>
          <w:sz w:val="24"/>
        </w:rPr>
      </w:pPr>
      <w:r>
        <w:rPr>
          <w:rFonts w:hint="eastAsia" w:ascii="宋体" w:hAnsi="宋体" w:cs="宋体"/>
          <w:spacing w:val="6"/>
          <w:sz w:val="24"/>
          <w:shd w:val="clear" w:color="auto" w:fill="FFFFFF"/>
        </w:rPr>
        <w:t>舒朋士环境科技（常州）股份有限公司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bookmarkStart w:id="0" w:name="_GoBack"/>
      <w:bookmarkEnd w:id="0"/>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2020-09-16T01:43:45Z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