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广东中科鸿捷环保科技有限公司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bookmarkStart w:id="1" w:name="_GoBack"/>
      <w:bookmarkEnd w:id="1"/>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hint="eastAsia" w:ascii="宋体" w:hAnsi="宋体"/>
          <w:sz w:val="24"/>
        </w:rPr>
        <w:t>中规院（北京）规划设计公司生态市政院</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 xml:space="preserve"> </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2020-09-18T07:33:09Z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