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中国给水排水2020年中国污水处理厂提标改造（污水处理提质增效）高级研讨会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(第四届)邀请函暨</w:t>
      </w:r>
      <w:r>
        <w:rPr>
          <w:rFonts w:hint="eastAsia" w:ascii="宋体" w:hAnsi="宋体" w:eastAsia="宋体" w:cs="宋体"/>
          <w:b/>
          <w:bCs/>
          <w:kern w:val="36"/>
          <w:sz w:val="24"/>
          <w:lang w:val="en-US" w:eastAsia="zh-CN"/>
        </w:rPr>
        <w:t>日程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2020年中国排水系统提质增效大会——鼎力打造高质量、高效能，与城市水环境相融合，网厂河一体的排水系统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r>
        <w:rPr>
          <w:rFonts w:hint="eastAsia" w:ascii="宋体" w:hAnsi="宋体" w:eastAsia="宋体" w:cs="宋体"/>
          <w:sz w:val="24"/>
        </w:rPr>
        <w:t>（请提前报名，限1000人；2019年1400余人参会）</w:t>
      </w:r>
    </w:p>
    <w:p>
      <w:pPr>
        <w:wordWrap/>
        <w:adjustRightInd/>
        <w:spacing w:beforeAutospacing="0" w:afterAutospacing="0" w:line="480" w:lineRule="auto"/>
        <w:jc w:val="center"/>
        <w:textAlignment w:val="auto"/>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wordWrap/>
        <w:adjustRightInd/>
        <w:spacing w:beforeAutospacing="0" w:afterAutospacing="0" w:line="480" w:lineRule="auto"/>
        <w:jc w:val="center"/>
        <w:textAlignment w:val="auto"/>
        <w:rPr>
          <w:rFonts w:hint="eastAsia" w:ascii="宋体" w:hAnsi="宋体" w:eastAsia="宋体" w:cs="宋体"/>
          <w:b/>
          <w:sz w:val="24"/>
        </w:rPr>
      </w:pPr>
      <w:r>
        <w:rPr>
          <w:rFonts w:hint="eastAsia" w:ascii="宋体" w:hAnsi="宋体" w:eastAsia="宋体" w:cs="宋体"/>
          <w:b/>
          <w:sz w:val="24"/>
        </w:rPr>
        <w:t>地点：山西太原市湖滨国际大酒店（会场酒店）</w:t>
      </w:r>
    </w:p>
    <w:p>
      <w:pPr>
        <w:wordWrap/>
        <w:adjustRightInd/>
        <w:spacing w:beforeAutospacing="0" w:afterAutospacing="0" w:line="480" w:lineRule="auto"/>
        <w:jc w:val="center"/>
        <w:textAlignment w:val="auto"/>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新兴铸管股份有限公司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中国建设科技集团股份有限公司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深圳市清研环境科技股份有限公司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 xml:space="preserve">华霖富水利环境技术咨询(上海)有限公司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北京清控人居环境研究院</w:t>
      </w:r>
      <w:bookmarkStart w:id="0" w:name="_GoBack"/>
      <w:bookmarkEnd w:id="0"/>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 xml:space="preserve">北京清源华建环境科技有限公司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嘉诚环保工程有限公司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苏伊士新创建有限公司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上海中申环境工程有限公司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武汉中仪物联技术股份有限公司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亿昇(天津)科技有限公司</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杭州楚环科技股份有限公司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天津海之凰科技有限公司</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海宁亚大塑料管道系统有限公司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南京蓝领环境科技有限公司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上海斯纳普膜分离科技有限公司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苏州新润智慧水务科技有限公司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中韩杜科泵业（浙江）有限公司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湖北君集水处理有限公司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东莞市锐天机电科技有限公司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赛默飞世尔科技（中国）有限公司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青岛邦皓环境科技有限公司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桐乡市小老板特种塑料制品有限公司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山东省邦皓环保科技有限公司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常州鼎亨机电设备有限公司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苏州市苏创环境科技发展有限公司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阿特拉斯科普柯（上海）贸易有限公司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深圳市施罗德工业集团有限公司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北京清环智慧水务科技有限公司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郑州国研环保科技有限公司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无锡宜友机电制造有限公司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上海昊沧系统控制技术有限责任公司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云南合续环境科技有限公司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等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pacing w:val="8"/>
          <w:shd w:val="clear" w:color="auto" w:fill="FFFFFF"/>
        </w:rPr>
        <w:t>青岛洛克环保科技有限公司、</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国美(天津)水技术工程有限公司、天津创业环保集团股份有限公司、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污水处理厂提标改造高级研讨会（第四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二、大会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eastAsia="宋体" w:cs="宋体"/>
          <w:b/>
          <w:color w:val="002060"/>
          <w:sz w:val="24"/>
          <w:lang w:val="en-US" w:eastAsia="zh-CN"/>
        </w:rPr>
        <w:t>10</w:t>
      </w:r>
      <w:r>
        <w:rPr>
          <w:rFonts w:hint="eastAsia" w:ascii="宋体" w:hAnsi="宋体" w:eastAsia="宋体" w:cs="宋体"/>
          <w:b/>
          <w:color w:val="002060"/>
          <w:sz w:val="24"/>
        </w:rPr>
        <w:t>月</w:t>
      </w:r>
      <w:r>
        <w:rPr>
          <w:rFonts w:hint="eastAsia" w:ascii="宋体" w:hAnsi="宋体" w:eastAsia="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eastAsia="宋体" w:cs="宋体"/>
          <w:b/>
          <w:color w:val="002060"/>
          <w:sz w:val="24"/>
          <w:lang w:val="en-US" w:eastAsia="zh-CN"/>
        </w:rPr>
        <w:t>21</w:t>
      </w:r>
      <w:r>
        <w:rPr>
          <w:rFonts w:hint="eastAsia" w:ascii="宋体" w:hAnsi="宋体" w:eastAsia="宋体" w:cs="宋体"/>
          <w:b/>
          <w:color w:val="002060"/>
          <w:sz w:val="24"/>
        </w:rPr>
        <w:t>日早上7:50至晚上22：00会场报告交流</w:t>
      </w: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eastAsia="宋体" w:cs="宋体"/>
          <w:b/>
          <w:color w:val="002060"/>
          <w:sz w:val="24"/>
        </w:rPr>
        <w:t>会场：</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wordWrap/>
        <w:adjustRightInd/>
        <w:spacing w:beforeAutospacing="0" w:afterAutospacing="0" w:line="480" w:lineRule="auto"/>
        <w:jc w:val="center"/>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日上午（</w:t>
      </w:r>
      <w:r>
        <w:rPr>
          <w:rFonts w:hint="eastAsia" w:ascii="宋体" w:hAnsi="宋体" w:eastAsia="宋体" w:cs="宋体"/>
          <w:b/>
          <w:sz w:val="24"/>
          <w:lang w:val="en-US" w:eastAsia="zh-CN"/>
        </w:rPr>
        <w:t xml:space="preserve"> 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wordWrap/>
        <w:adjustRightInd/>
        <w:spacing w:beforeAutospacing="0" w:afterAutospacing="0" w:line="480" w:lineRule="auto"/>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8：30—9：0</w:t>
      </w:r>
      <w:r>
        <w:rPr>
          <w:rFonts w:hint="eastAsia" w:ascii="宋体" w:hAnsi="宋体" w:eastAsia="宋体" w:cs="宋体"/>
          <w:sz w:val="24"/>
          <w:lang w:val="en-US" w:eastAsia="zh-CN"/>
        </w:rPr>
        <w:t>5</w:t>
      </w:r>
      <w:r>
        <w:rPr>
          <w:rFonts w:hint="eastAsia" w:ascii="宋体" w:hAnsi="宋体" w:eastAsia="宋体" w:cs="宋体"/>
          <w:sz w:val="24"/>
        </w:rPr>
        <w:t xml:space="preserve"> （</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9：0</w:t>
      </w:r>
      <w:r>
        <w:rPr>
          <w:rFonts w:hint="eastAsia" w:ascii="宋体" w:hAnsi="宋体" w:eastAsia="宋体" w:cs="宋体"/>
          <w:sz w:val="24"/>
          <w:lang w:val="en-US" w:eastAsia="zh-CN"/>
        </w:rPr>
        <w:t>5</w:t>
      </w:r>
      <w:r>
        <w:rPr>
          <w:rFonts w:hint="eastAsia" w:ascii="宋体" w:hAnsi="宋体" w:eastAsia="宋体" w:cs="宋体"/>
          <w:sz w:val="24"/>
        </w:rPr>
        <w:t>—9：2</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9：2</w:t>
      </w:r>
      <w:r>
        <w:rPr>
          <w:rFonts w:hint="eastAsia" w:ascii="宋体" w:hAnsi="宋体" w:eastAsia="宋体" w:cs="宋体"/>
          <w:sz w:val="24"/>
          <w:lang w:val="en-US" w:eastAsia="zh-CN"/>
        </w:rPr>
        <w:t>5</w:t>
      </w:r>
      <w:r>
        <w:rPr>
          <w:rFonts w:hint="eastAsia" w:ascii="宋体" w:hAnsi="宋体" w:eastAsia="宋体" w:cs="宋体"/>
          <w:sz w:val="24"/>
        </w:rPr>
        <w:t>—9：4</w:t>
      </w:r>
      <w:r>
        <w:rPr>
          <w:rFonts w:hint="eastAsia" w:ascii="宋体" w:hAnsi="宋体" w:eastAsia="宋体" w:cs="宋体"/>
          <w:sz w:val="24"/>
          <w:lang w:val="en-US" w:eastAsia="zh-CN"/>
        </w:rPr>
        <w:t>5</w:t>
      </w:r>
      <w:r>
        <w:rPr>
          <w:rFonts w:hint="eastAsia" w:ascii="宋体" w:hAnsi="宋体" w:eastAsia="宋体" w:cs="宋体"/>
          <w:sz w:val="24"/>
        </w:rPr>
        <w:t xml:space="preserve"> （15分钟报告+5分钟问答）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9：4</w:t>
      </w:r>
      <w:r>
        <w:rPr>
          <w:rFonts w:hint="eastAsia" w:ascii="宋体" w:hAnsi="宋体" w:eastAsia="宋体" w:cs="宋体"/>
          <w:sz w:val="24"/>
          <w:lang w:val="en-US" w:eastAsia="zh-CN"/>
        </w:rPr>
        <w:t>5</w:t>
      </w:r>
      <w:r>
        <w:rPr>
          <w:rFonts w:hint="eastAsia" w:ascii="宋体" w:hAnsi="宋体" w:eastAsia="宋体" w:cs="宋体"/>
          <w:sz w:val="24"/>
        </w:rPr>
        <w:t>—10：</w:t>
      </w:r>
      <w:r>
        <w:rPr>
          <w:rFonts w:hint="eastAsia" w:ascii="宋体" w:hAnsi="宋体" w:eastAsia="宋体" w:cs="宋体"/>
          <w:sz w:val="24"/>
          <w:lang w:val="en-US" w:eastAsia="zh-CN"/>
        </w:rPr>
        <w:t>10</w:t>
      </w:r>
      <w:r>
        <w:rPr>
          <w:rFonts w:hint="eastAsia" w:ascii="宋体" w:hAnsi="宋体" w:eastAsia="宋体" w:cs="宋体"/>
          <w:sz w:val="24"/>
        </w:rPr>
        <w:t>（20分钟报告+5分钟问答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lang w:val="en-US" w:eastAsia="zh-CN"/>
        </w:rPr>
        <w:t>10</w:t>
      </w:r>
      <w:r>
        <w:rPr>
          <w:rFonts w:hint="eastAsia" w:ascii="宋体" w:hAnsi="宋体" w:eastAsia="宋体" w:cs="宋体"/>
          <w:sz w:val="24"/>
        </w:rPr>
        <w:t>—10：3</w:t>
      </w:r>
      <w:r>
        <w:rPr>
          <w:rFonts w:hint="eastAsia" w:ascii="宋体" w:hAnsi="宋体" w:eastAsia="宋体" w:cs="宋体"/>
          <w:sz w:val="24"/>
          <w:lang w:val="en-US" w:eastAsia="zh-CN"/>
        </w:rPr>
        <w:t>5</w:t>
      </w:r>
      <w:r>
        <w:rPr>
          <w:rFonts w:hint="eastAsia" w:ascii="宋体" w:hAnsi="宋体" w:eastAsia="宋体" w:cs="宋体"/>
          <w:sz w:val="24"/>
        </w:rPr>
        <w:t>（20分钟报告+5分钟问答）</w:t>
      </w: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wordWrap/>
        <w:adjustRightInd/>
        <w:spacing w:beforeAutospacing="0" w:afterAutospacing="0" w:line="480" w:lineRule="auto"/>
        <w:textAlignment w:val="auto"/>
        <w:rPr>
          <w:rFonts w:hint="eastAsia" w:ascii="宋体" w:hAnsi="宋体" w:eastAsia="宋体" w:cs="宋体"/>
          <w:color w:val="000000"/>
          <w:szCs w:val="21"/>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10：3</w:t>
      </w:r>
      <w:r>
        <w:rPr>
          <w:rFonts w:hint="eastAsia" w:ascii="宋体" w:hAnsi="宋体" w:eastAsia="宋体" w:cs="宋体"/>
          <w:sz w:val="24"/>
          <w:lang w:val="en-US" w:eastAsia="zh-CN"/>
        </w:rPr>
        <w:t>5</w:t>
      </w:r>
      <w:r>
        <w:rPr>
          <w:rFonts w:hint="eastAsia" w:ascii="宋体" w:hAnsi="宋体" w:eastAsia="宋体" w:cs="宋体"/>
          <w:sz w:val="24"/>
        </w:rPr>
        <w:t>—10：5</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10：5</w:t>
      </w:r>
      <w:r>
        <w:rPr>
          <w:rFonts w:hint="eastAsia" w:ascii="宋体" w:hAnsi="宋体" w:eastAsia="宋体" w:cs="宋体"/>
          <w:sz w:val="24"/>
          <w:lang w:val="en-US" w:eastAsia="zh-CN"/>
        </w:rPr>
        <w:t>5</w:t>
      </w:r>
      <w:r>
        <w:rPr>
          <w:rFonts w:hint="eastAsia" w:ascii="宋体" w:hAnsi="宋体" w:eastAsia="宋体" w:cs="宋体"/>
          <w:sz w:val="24"/>
        </w:rPr>
        <w:t>—11：1</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sz w:val="24"/>
          <w:lang w:val="en-US" w:eastAsia="zh-CN"/>
        </w:rPr>
        <w:t>5</w:t>
      </w:r>
      <w:r>
        <w:rPr>
          <w:rFonts w:hint="eastAsia" w:ascii="宋体" w:hAnsi="宋体" w:eastAsia="宋体" w:cs="宋体"/>
          <w:sz w:val="24"/>
        </w:rPr>
        <w:t>—11：</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40</w:t>
      </w:r>
      <w:r>
        <w:rPr>
          <w:rFonts w:hint="eastAsia" w:ascii="宋体" w:hAnsi="宋体" w:eastAsia="宋体" w:cs="宋体"/>
          <w:sz w:val="24"/>
        </w:rPr>
        <w:t>—12：</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13：25—13：55（20分钟报告+5分钟问答）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13：55—14：15（15分钟报告+5分钟问答）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14：15—14：35（15分钟报告+5分钟问答）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14：35—14：55（15分钟报告+5分钟问答）</w:t>
      </w: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14：55—15：15（15分钟报告+5分钟问答）</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15：15—15：35（15分钟报告+5分钟问答）</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15：35—15：55（15分钟报告+5分钟问答</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15：55—16：15（15分钟报告+5分钟问答）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16：15—16：35（15分钟报告+5分钟问答）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16：35—16：55（15分钟报告+5分钟问答）</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16:55—17：15（15分钟报告+5分钟问答）</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17：15—17：35（15分钟报告+5分钟问答）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17：35—17：55（15分钟报告+5分钟问答）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17：55—18：</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18：</w:t>
      </w:r>
      <w:r>
        <w:rPr>
          <w:rFonts w:hint="eastAsia" w:ascii="宋体" w:hAnsi="宋体" w:eastAsia="宋体" w:cs="宋体"/>
          <w:sz w:val="24"/>
          <w:lang w:val="en-US" w:eastAsia="zh-CN"/>
        </w:rPr>
        <w:t>15</w:t>
      </w:r>
      <w:r>
        <w:rPr>
          <w:rFonts w:hint="eastAsia" w:ascii="宋体" w:hAnsi="宋体" w:eastAsia="宋体" w:cs="宋体"/>
          <w:sz w:val="24"/>
        </w:rPr>
        <w:t>—18：</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20：00—20：25（20分钟报告+5分钟问答）</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20：25—20：50 （20分钟报告+5分钟问答）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20：50—21：15（20分钟报告+5分钟问答）</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21：15—21：45 （25分钟报告+5分钟问答）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10月21日 </w:t>
      </w:r>
      <w:r>
        <w:rPr>
          <w:rFonts w:hint="eastAsia" w:ascii="宋体" w:hAnsi="宋体" w:eastAsia="宋体" w:cs="宋体"/>
          <w:b/>
          <w:bCs/>
          <w:sz w:val="24"/>
          <w:szCs w:val="24"/>
        </w:rPr>
        <w:t>上午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大酒店三楼</w:t>
      </w:r>
      <w:r>
        <w:rPr>
          <w:rFonts w:hint="eastAsia" w:ascii="宋体" w:hAnsi="宋体" w:eastAsia="宋体" w:cs="宋体"/>
          <w:b/>
          <w:sz w:val="24"/>
          <w:szCs w:val="24"/>
          <w:lang w:eastAsia="zh-CN"/>
        </w:rPr>
        <w:t>湖滨会堂</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7：50—8：2</w:t>
      </w:r>
      <w:r>
        <w:rPr>
          <w:rFonts w:hint="eastAsia" w:ascii="宋体" w:hAnsi="宋体" w:eastAsia="宋体" w:cs="宋体"/>
          <w:sz w:val="24"/>
          <w:szCs w:val="24"/>
          <w:lang w:val="en-US" w:eastAsia="zh-CN"/>
        </w:rPr>
        <w:t>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jc w:val="center"/>
        <w:textAlignment w:val="auto"/>
        <w:rPr>
          <w:rFonts w:hint="eastAsia" w:ascii="宋体" w:hAnsi="宋体" w:eastAsia="宋体" w:cs="宋体"/>
          <w:b/>
          <w:kern w:val="0"/>
          <w:sz w:val="24"/>
          <w:szCs w:val="24"/>
        </w:rPr>
      </w:pPr>
    </w:p>
    <w:p>
      <w:pPr>
        <w:wordWrap/>
        <w:adjustRightInd/>
        <w:spacing w:beforeAutospacing="0" w:afterAutospacing="0" w:line="48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p>
    <w:p>
      <w:pPr>
        <w:wordWrap/>
        <w:adjustRightInd/>
        <w:spacing w:beforeAutospacing="0" w:afterAutospacing="0"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吕锡武</w:t>
      </w:r>
    </w:p>
    <w:p>
      <w:pPr>
        <w:wordWrap/>
        <w:adjustRightInd/>
        <w:spacing w:beforeAutospacing="0" w:afterAutospacing="0"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（东南大学能源与环境学院，江苏南京，210096）</w:t>
      </w:r>
    </w:p>
    <w:p>
      <w:pPr>
        <w:wordWrap/>
        <w:adjustRightInd/>
        <w:spacing w:beforeAutospacing="0" w:afterAutospacing="0" w:line="480" w:lineRule="auto"/>
        <w:ind w:firstLine="420"/>
        <w:textAlignment w:val="auto"/>
        <w:rPr>
          <w:rFonts w:hint="eastAsia" w:ascii="宋体" w:hAnsi="宋体" w:eastAsia="宋体" w:cs="宋体"/>
          <w:sz w:val="24"/>
          <w:szCs w:val="24"/>
        </w:rPr>
      </w:pPr>
      <w:r>
        <w:rPr>
          <w:rFonts w:hint="eastAsia" w:ascii="宋体" w:hAnsi="宋体" w:eastAsia="宋体" w:cs="宋体"/>
          <w:b/>
          <w:sz w:val="24"/>
          <w:szCs w:val="24"/>
        </w:rPr>
        <w:t>摘要</w:t>
      </w:r>
      <w:r>
        <w:rPr>
          <w:rFonts w:hint="eastAsia" w:ascii="宋体" w:hAnsi="宋体" w:eastAsia="宋体" w:cs="宋体"/>
          <w:sz w:val="24"/>
          <w:szCs w:val="24"/>
        </w:rPr>
        <w:t xml:space="preserve"> 羟基磷酸钙(HAP)适用于中低浓度含磷废水，且特别适合于生物强化除磷工艺厌氧池出水中磷（浓度20</w:t>
      </w:r>
      <w:r>
        <w:rPr>
          <w:rFonts w:hint="eastAsia" w:ascii="宋体" w:hAnsi="宋体" w:eastAsia="宋体" w:cs="宋体"/>
          <w:sz w:val="24"/>
          <w:szCs w:val="24"/>
          <w:lang w:val="en-US" w:eastAsia="zh-CN"/>
        </w:rPr>
        <w:t>-30</w:t>
      </w:r>
      <w:r>
        <w:rPr>
          <w:rFonts w:hint="eastAsia" w:ascii="宋体" w:hAnsi="宋体" w:eastAsia="宋体" w:cs="宋体"/>
          <w:sz w:val="24"/>
          <w:szCs w:val="24"/>
        </w:rPr>
        <w:t>mg /L）的回收。城镇污水中含有来源广泛的重金属离子，其存在可能影响诱导磷结晶工艺的磷回收效果和磷回收产物品质，因此评估重金属离子对HAP结晶过程的影响具有重要意义。</w:t>
      </w:r>
    </w:p>
    <w:p>
      <w:pPr>
        <w:wordWrap/>
        <w:adjustRightInd/>
        <w:spacing w:beforeAutospacing="0" w:afterAutospacing="0" w:line="480" w:lineRule="auto"/>
        <w:ind w:firstLine="420"/>
        <w:textAlignment w:val="auto"/>
        <w:rPr>
          <w:rFonts w:hint="eastAsia" w:ascii="宋体" w:hAnsi="宋体" w:eastAsia="宋体" w:cs="宋体"/>
          <w:b/>
          <w:bCs/>
          <w:sz w:val="24"/>
          <w:szCs w:val="24"/>
        </w:rPr>
      </w:pPr>
      <w:r>
        <w:rPr>
          <w:rFonts w:hint="eastAsia" w:ascii="宋体" w:hAnsi="宋体" w:eastAsia="宋体" w:cs="宋体"/>
          <w:sz w:val="24"/>
          <w:szCs w:val="24"/>
        </w:rPr>
        <w:t>本研究考察了Ca/P摩尔比、晶种投加量、pH、重金属种类和浓度对磷回收效果及回收产物的影响，利用扫描电镜（SEM）、X射线能谱仪 （EDS）和 X射线衍射仪 （XRD）对结晶产物特性进行分析。结果表明：磷去除率随Ca/P摩尔比的增大有小幅度升高，随晶种投加量的增大先升高后降低，二者对HAP结晶过程磷回收率的影响较小。pH对磷去除率具有显著性影响，pH=8.5~9时反应最为迅速。升高重金属浓度对磷回收有抑制作用，抑制作用Zn</w:t>
      </w:r>
      <w:r>
        <w:rPr>
          <w:rFonts w:hint="eastAsia" w:ascii="宋体" w:hAnsi="宋体" w:eastAsia="宋体" w:cs="宋体"/>
          <w:sz w:val="24"/>
          <w:szCs w:val="24"/>
          <w:vertAlign w:val="superscript"/>
        </w:rPr>
        <w:t>2+</w:t>
      </w:r>
      <w:r>
        <w:rPr>
          <w:rFonts w:hint="eastAsia" w:ascii="宋体" w:hAnsi="宋体" w:eastAsia="宋体" w:cs="宋体"/>
          <w:sz w:val="24"/>
          <w:szCs w:val="24"/>
        </w:rPr>
        <w:t>＞Cd</w:t>
      </w:r>
      <w:r>
        <w:rPr>
          <w:rFonts w:hint="eastAsia" w:ascii="宋体" w:hAnsi="宋体" w:eastAsia="宋体" w:cs="宋体"/>
          <w:sz w:val="24"/>
          <w:szCs w:val="24"/>
          <w:vertAlign w:val="superscript"/>
        </w:rPr>
        <w:t>2+</w:t>
      </w:r>
      <w:r>
        <w:rPr>
          <w:rFonts w:hint="eastAsia" w:ascii="宋体" w:hAnsi="宋体" w:eastAsia="宋体" w:cs="宋体"/>
          <w:sz w:val="24"/>
          <w:szCs w:val="24"/>
        </w:rPr>
        <w:t>＞Cu</w:t>
      </w:r>
      <w:r>
        <w:rPr>
          <w:rFonts w:hint="eastAsia" w:ascii="宋体" w:hAnsi="宋体" w:eastAsia="宋体" w:cs="宋体"/>
          <w:sz w:val="24"/>
          <w:szCs w:val="24"/>
          <w:vertAlign w:val="superscript"/>
        </w:rPr>
        <w:t>2+</w:t>
      </w:r>
      <w:r>
        <w:rPr>
          <w:rFonts w:hint="eastAsia" w:ascii="宋体" w:hAnsi="宋体" w:eastAsia="宋体" w:cs="宋体"/>
          <w:sz w:val="24"/>
          <w:szCs w:val="24"/>
        </w:rPr>
        <w:t>；对重金属的去除有促进作用，重金属去除率关系为Cu</w:t>
      </w:r>
      <w:r>
        <w:rPr>
          <w:rFonts w:hint="eastAsia" w:ascii="宋体" w:hAnsi="宋体" w:eastAsia="宋体" w:cs="宋体"/>
          <w:sz w:val="24"/>
          <w:szCs w:val="24"/>
          <w:vertAlign w:val="superscript"/>
        </w:rPr>
        <w:t>2+</w:t>
      </w:r>
      <w:r>
        <w:rPr>
          <w:rFonts w:hint="eastAsia" w:ascii="宋体" w:hAnsi="宋体" w:eastAsia="宋体" w:cs="宋体"/>
          <w:sz w:val="24"/>
          <w:szCs w:val="24"/>
        </w:rPr>
        <w:t>＞Zn</w:t>
      </w:r>
      <w:r>
        <w:rPr>
          <w:rFonts w:hint="eastAsia" w:ascii="宋体" w:hAnsi="宋体" w:eastAsia="宋体" w:cs="宋体"/>
          <w:sz w:val="24"/>
          <w:szCs w:val="24"/>
          <w:vertAlign w:val="superscript"/>
        </w:rPr>
        <w:t>2+</w:t>
      </w:r>
      <w:r>
        <w:rPr>
          <w:rFonts w:hint="eastAsia" w:ascii="宋体" w:hAnsi="宋体" w:eastAsia="宋体" w:cs="宋体"/>
          <w:sz w:val="24"/>
          <w:szCs w:val="24"/>
        </w:rPr>
        <w:t>＞Cd</w:t>
      </w:r>
      <w:r>
        <w:rPr>
          <w:rFonts w:hint="eastAsia" w:ascii="宋体" w:hAnsi="宋体" w:eastAsia="宋体" w:cs="宋体"/>
          <w:sz w:val="24"/>
          <w:szCs w:val="24"/>
          <w:vertAlign w:val="superscript"/>
        </w:rPr>
        <w:t>2+</w:t>
      </w:r>
      <w:r>
        <w:rPr>
          <w:rFonts w:hint="eastAsia" w:ascii="宋体" w:hAnsi="宋体" w:eastAsia="宋体" w:cs="宋体"/>
          <w:sz w:val="24"/>
          <w:szCs w:val="24"/>
        </w:rPr>
        <w:t>。Cu</w:t>
      </w:r>
      <w:r>
        <w:rPr>
          <w:rFonts w:hint="eastAsia" w:ascii="宋体" w:hAnsi="宋体" w:eastAsia="宋体" w:cs="宋体"/>
          <w:sz w:val="24"/>
          <w:szCs w:val="24"/>
          <w:vertAlign w:val="superscript"/>
        </w:rPr>
        <w:t>2+</w:t>
      </w:r>
      <w:r>
        <w:rPr>
          <w:rFonts w:hint="eastAsia" w:ascii="宋体" w:hAnsi="宋体" w:eastAsia="宋体" w:cs="宋体"/>
          <w:sz w:val="24"/>
          <w:szCs w:val="24"/>
        </w:rPr>
        <w:t>和Zn</w:t>
      </w:r>
      <w:r>
        <w:rPr>
          <w:rFonts w:hint="eastAsia" w:ascii="宋体" w:hAnsi="宋体" w:eastAsia="宋体" w:cs="宋体"/>
          <w:sz w:val="24"/>
          <w:szCs w:val="24"/>
          <w:vertAlign w:val="superscript"/>
        </w:rPr>
        <w:t>2+</w:t>
      </w:r>
      <w:r>
        <w:rPr>
          <w:rFonts w:hint="eastAsia" w:ascii="宋体" w:hAnsi="宋体" w:eastAsia="宋体" w:cs="宋体"/>
          <w:sz w:val="24"/>
          <w:szCs w:val="24"/>
        </w:rPr>
        <w:t>相关沉淀物组分较为复杂，Cd</w:t>
      </w:r>
      <w:r>
        <w:rPr>
          <w:rFonts w:hint="eastAsia" w:ascii="宋体" w:hAnsi="宋体" w:eastAsia="宋体" w:cs="宋体"/>
          <w:sz w:val="24"/>
          <w:szCs w:val="24"/>
          <w:vertAlign w:val="superscript"/>
        </w:rPr>
        <w:t>2+</w:t>
      </w:r>
      <w:r>
        <w:rPr>
          <w:rFonts w:hint="eastAsia" w:ascii="宋体" w:hAnsi="宋体" w:eastAsia="宋体" w:cs="宋体"/>
          <w:sz w:val="24"/>
          <w:szCs w:val="24"/>
        </w:rPr>
        <w:t>较简单。PO</w:t>
      </w:r>
      <w:r>
        <w:rPr>
          <w:rFonts w:hint="eastAsia" w:ascii="宋体" w:hAnsi="宋体" w:eastAsia="宋体" w:cs="宋体"/>
          <w:sz w:val="24"/>
          <w:szCs w:val="24"/>
          <w:vertAlign w:val="subscript"/>
        </w:rPr>
        <w:t>4</w:t>
      </w:r>
      <w:r>
        <w:rPr>
          <w:rFonts w:hint="eastAsia" w:ascii="宋体" w:hAnsi="宋体" w:eastAsia="宋体" w:cs="宋体"/>
          <w:sz w:val="24"/>
          <w:szCs w:val="24"/>
          <w:vertAlign w:val="superscript"/>
        </w:rPr>
        <w:t>3-</w:t>
      </w:r>
      <w:r>
        <w:rPr>
          <w:rFonts w:hint="eastAsia" w:ascii="宋体" w:hAnsi="宋体" w:eastAsia="宋体" w:cs="宋体"/>
          <w:sz w:val="24"/>
          <w:szCs w:val="24"/>
        </w:rPr>
        <w:t>主要以重金属磷灰石的形式进行沉淀，HAP的结晶则受到抑制。</w:t>
      </w:r>
    </w:p>
    <w:p>
      <w:pPr>
        <w:wordWrap/>
        <w:adjustRightInd/>
        <w:spacing w:beforeAutospacing="0" w:afterAutospacing="0" w:line="480" w:lineRule="auto"/>
        <w:jc w:val="left"/>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rPr>
        <w:t>全面了解金属离子对羟基磷灰石结晶的影响将有助于提高从废水中回收的羟基磷灰石产品的质量。</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8：2</w:t>
      </w:r>
      <w:r>
        <w:rPr>
          <w:rFonts w:hint="eastAsia" w:ascii="宋体" w:hAnsi="宋体" w:eastAsia="宋体" w:cs="宋体"/>
          <w:sz w:val="24"/>
          <w:lang w:val="en-US" w:eastAsia="zh-CN"/>
        </w:rPr>
        <w:t>0</w:t>
      </w:r>
      <w:r>
        <w:rPr>
          <w:rFonts w:hint="eastAsia" w:ascii="宋体" w:hAnsi="宋体" w:eastAsia="宋体" w:cs="宋体"/>
          <w:sz w:val="24"/>
        </w:rPr>
        <w:t>—8：4</w:t>
      </w:r>
      <w:r>
        <w:rPr>
          <w:rFonts w:hint="eastAsia" w:ascii="宋体" w:hAnsi="宋体" w:eastAsia="宋体" w:cs="宋体"/>
          <w:sz w:val="24"/>
          <w:lang w:val="en-US" w:eastAsia="zh-CN"/>
        </w:rPr>
        <w:t>0</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8：</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9：00—9：20（15分钟报告+5分钟问答）</w:t>
      </w: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9：20—9：40（15分钟报告+5分钟问答）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9：40—10：00（15分钟报告+5分钟问答）</w:t>
      </w: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苏伊士新创建有限公司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10：00—10：20（15分钟报告+5分钟问答）</w:t>
      </w: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10：20—10：40（15分钟报告+5分钟问答）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sz w:val="24"/>
        </w:rPr>
        <w:t>10：40—11：00（15分钟报告+5分钟问答）</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0</w:t>
      </w:r>
      <w:r>
        <w:rPr>
          <w:rFonts w:hint="eastAsia" w:ascii="宋体" w:hAnsi="宋体" w:eastAsia="宋体" w:cs="宋体"/>
          <w:sz w:val="24"/>
        </w:rPr>
        <w:t>0—11：</w:t>
      </w:r>
      <w:r>
        <w:rPr>
          <w:rFonts w:hint="eastAsia" w:ascii="宋体" w:hAnsi="宋体" w:eastAsia="宋体" w:cs="宋体"/>
          <w:sz w:val="24"/>
          <w:lang w:val="en-US" w:eastAsia="zh-CN"/>
        </w:rPr>
        <w:t>2</w:t>
      </w:r>
      <w:r>
        <w:rPr>
          <w:rFonts w:hint="eastAsia" w:ascii="宋体" w:hAnsi="宋体" w:eastAsia="宋体" w:cs="宋体"/>
          <w:sz w:val="24"/>
        </w:rPr>
        <w:t>5（20分钟报告+5分钟问答）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2</w:t>
      </w:r>
      <w:r>
        <w:rPr>
          <w:rFonts w:hint="eastAsia" w:ascii="宋体" w:hAnsi="宋体" w:eastAsia="宋体" w:cs="宋体"/>
          <w:sz w:val="24"/>
          <w:szCs w:val="24"/>
        </w:rPr>
        <w:t>5—1</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分钟报告+5分钟问答）</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10月21日 </w:t>
      </w:r>
      <w:r>
        <w:rPr>
          <w:rFonts w:hint="eastAsia" w:ascii="宋体" w:hAnsi="宋体" w:eastAsia="宋体" w:cs="宋体"/>
          <w:b/>
          <w:bCs/>
          <w:sz w:val="24"/>
          <w:szCs w:val="24"/>
        </w:rPr>
        <w:t>下午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大酒店三楼</w:t>
      </w:r>
      <w:r>
        <w:rPr>
          <w:rFonts w:hint="eastAsia" w:ascii="宋体" w:hAnsi="宋体" w:eastAsia="宋体" w:cs="宋体"/>
          <w:b/>
          <w:sz w:val="24"/>
          <w:szCs w:val="24"/>
          <w:lang w:eastAsia="zh-CN"/>
        </w:rPr>
        <w:t>湖滨会堂</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13：25—13：55（20分钟报告+5分钟问答）</w:t>
      </w: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13：55—14：15（15分钟报告+5分钟问答）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14：15—14：35（15分钟报告+5分钟问答）</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kern w:val="0"/>
          <w:sz w:val="24"/>
          <w:szCs w:val="24"/>
        </w:rPr>
      </w:pPr>
      <w:r>
        <w:rPr>
          <w:rFonts w:hint="eastAsia" w:ascii="宋体" w:hAnsi="宋体" w:eastAsia="宋体" w:cs="宋体"/>
          <w:sz w:val="24"/>
          <w:szCs w:val="24"/>
        </w:rPr>
        <w:t>14：35—15：00（</w:t>
      </w:r>
      <w:r>
        <w:rPr>
          <w:rFonts w:hint="eastAsia" w:ascii="宋体" w:hAnsi="宋体" w:eastAsia="宋体" w:cs="宋体"/>
          <w:sz w:val="24"/>
          <w:szCs w:val="24"/>
          <w:lang w:val="en-US" w:eastAsia="zh-CN"/>
        </w:rPr>
        <w:t>20</w:t>
      </w:r>
      <w:r>
        <w:rPr>
          <w:rFonts w:hint="eastAsia" w:ascii="宋体" w:hAnsi="宋体" w:eastAsia="宋体" w:cs="宋体"/>
          <w:sz w:val="24"/>
          <w:szCs w:val="24"/>
        </w:rPr>
        <w:t>分钟报告+5分钟问答）</w:t>
      </w: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15：00—15：20（15分钟报告+5分钟问答）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sz w:val="24"/>
          <w:szCs w:val="24"/>
          <w:lang w:eastAsia="zh-CN"/>
        </w:rPr>
      </w:pPr>
      <w:r>
        <w:rPr>
          <w:rFonts w:hint="eastAsia" w:ascii="宋体" w:hAnsi="宋体" w:eastAsia="宋体" w:cs="宋体"/>
          <w:sz w:val="24"/>
          <w:szCs w:val="24"/>
        </w:rPr>
        <w:t>15：20—15：40（15分钟报告+5分钟问答）</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15：40—16：00（15分钟报告+5分钟问答）</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16：00—16：20（15分钟报告+5分钟问答）</w:t>
      </w: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16：20—16：40（15分钟报告+5分钟问答）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16：40—17：00（15分钟报告+5分钟问答）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17：00—17：20（15分钟报告+5分钟问答）</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17：20—17：40（15分钟报告+5分钟问答）</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b/>
          <w:kern w:val="0"/>
          <w:sz w:val="24"/>
        </w:rPr>
      </w:pPr>
      <w:r>
        <w:rPr>
          <w:rFonts w:hint="eastAsia" w:ascii="宋体" w:hAnsi="宋体" w:eastAsia="宋体" w:cs="宋体"/>
          <w:sz w:val="24"/>
        </w:rPr>
        <w:t>17：40—18：0</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18：0</w:t>
      </w:r>
      <w:r>
        <w:rPr>
          <w:rFonts w:hint="eastAsia" w:ascii="宋体" w:hAnsi="宋体" w:eastAsia="宋体" w:cs="宋体"/>
          <w:sz w:val="24"/>
          <w:lang w:val="en-US" w:eastAsia="zh-CN"/>
        </w:rPr>
        <w:t>5</w:t>
      </w:r>
      <w:r>
        <w:rPr>
          <w:rFonts w:hint="eastAsia" w:ascii="宋体" w:hAnsi="宋体" w:eastAsia="宋体" w:cs="宋体"/>
          <w:sz w:val="24"/>
        </w:rPr>
        <w:t>—18：</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20：00—20：25 （20分钟报告+5分钟问答）</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20：50—21：15 （20分钟报告+5分钟问答）</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21：15—21：40 （20分钟报告+5分钟问答）</w:t>
      </w: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新创建有限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文章发表2-3篇/2个代表,发资料，现场易拉宝1，论文集前彩插广告1P等共计3万元。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b/>
          <w:bCs/>
          <w:sz w:val="24"/>
          <w:szCs w:val="24"/>
        </w:rPr>
      </w:pPr>
      <w:r>
        <w:rPr>
          <w:rFonts w:hint="eastAsia" w:ascii="宋体" w:hAnsi="宋体" w:eastAsia="宋体" w:cs="宋体"/>
          <w:b/>
          <w:color w:val="FF0000"/>
          <w:sz w:val="24"/>
          <w:szCs w:val="24"/>
        </w:rPr>
        <w:t>住宿</w:t>
      </w:r>
      <w:r>
        <w:rPr>
          <w:rFonts w:hint="eastAsia" w:ascii="宋体" w:hAnsi="宋体" w:eastAsia="宋体" w:cs="宋体"/>
          <w:b/>
          <w:sz w:val="24"/>
          <w:szCs w:val="24"/>
        </w:rPr>
        <w:t>：</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rPr>
        <w:t xml:space="preserve">太原市湖滨国际大酒店（五星级）  </w:t>
      </w:r>
    </w:p>
    <w:p>
      <w:pPr>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shd w:val="clear" w:color="auto" w:fill="FFFFFF"/>
        </w:rPr>
        <w:t>，住宿费用自理。</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本次会议注意事项</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wordWrap/>
        <w:adjustRightInd/>
        <w:spacing w:beforeAutospacing="0" w:afterAutospacing="0" w:line="480" w:lineRule="auto"/>
        <w:textAlignment w:val="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kern w:val="0"/>
          <w:sz w:val="24"/>
        </w:rPr>
        <w:t>汇款时请注明入住参会代表姓名及单位名称。</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wordWrap/>
        <w:adjustRightInd/>
        <w:spacing w:beforeAutospacing="0" w:afterAutospacing="0" w:line="480" w:lineRule="auto"/>
        <w:textAlignment w:val="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2020年中国污水处理厂提标改造高级研讨会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wordWrap/>
        <w:adjustRightInd/>
        <w:spacing w:beforeAutospacing="0" w:afterAutospacing="0" w:line="480" w:lineRule="auto"/>
        <w:textAlignment w:val="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wordWrap/>
        <w:adjustRightInd/>
        <w:spacing w:beforeAutospacing="0" w:afterAutospacing="0" w:line="480" w:lineRule="auto"/>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wordWrap/>
        <w:adjustRightInd/>
        <w:spacing w:beforeAutospacing="0" w:afterAutospacing="0" w:line="480" w:lineRule="auto"/>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wordWrap/>
        <w:autoSpaceDN w:val="0"/>
        <w:adjustRightInd/>
        <w:spacing w:beforeAutospacing="0" w:afterAutospacing="0" w:line="480" w:lineRule="auto"/>
        <w:ind w:firstLine="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wordWrap/>
        <w:autoSpaceDN w:val="0"/>
        <w:adjustRightInd/>
        <w:spacing w:beforeAutospacing="0" w:afterAutospacing="0" w:line="480" w:lineRule="auto"/>
        <w:ind w:firstLine="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wordWrap/>
        <w:autoSpaceDN w:val="0"/>
        <w:adjustRightInd/>
        <w:spacing w:beforeAutospacing="0" w:afterAutospacing="0" w:line="480" w:lineRule="auto"/>
        <w:ind w:firstLine="0"/>
        <w:textAlignment w:val="auto"/>
        <w:rPr>
          <w:rFonts w:hint="eastAsia" w:ascii="宋体" w:hAnsi="宋体" w:eastAsia="宋体" w:cs="宋体"/>
          <w:sz w:val="24"/>
          <w:szCs w:val="21"/>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2020-10-14T09:13:04Z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