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EEC6F">
      <w:pPr>
        <w:pStyle w:val="3"/>
        <w:shd w:val="clear" w:color="auto" w:fill="FFFFFF"/>
        <w:spacing w:before="0" w:beforeAutospacing="0" w:after="150" w:afterAutospacing="0" w:line="400" w:lineRule="exact"/>
        <w:jc w:val="center"/>
        <w:rPr>
          <w:rFonts w:ascii="黑体" w:hAnsi="黑体" w:eastAsia="黑体" w:cs="黑体"/>
          <w:color w:val="FF0000"/>
          <w:sz w:val="28"/>
          <w:szCs w:val="28"/>
        </w:rPr>
      </w:pPr>
      <w:r>
        <w:rPr>
          <w:rFonts w:hint="eastAsia" w:ascii="黑体" w:hAnsi="黑体" w:eastAsia="黑体" w:cs="黑体"/>
          <w:color w:val="FF0000"/>
          <w:sz w:val="28"/>
          <w:szCs w:val="28"/>
        </w:rPr>
        <w:t>中国给水排水2026年污泥处理处置论坛（上海）</w:t>
      </w:r>
    </w:p>
    <w:p w14:paraId="5A4DD612">
      <w:pPr>
        <w:pStyle w:val="3"/>
        <w:shd w:val="clear" w:color="auto" w:fill="FFFFFF"/>
        <w:spacing w:before="0" w:beforeAutospacing="0" w:after="150" w:afterAutospacing="0" w:line="400" w:lineRule="exact"/>
        <w:jc w:val="center"/>
        <w:rPr>
          <w:rFonts w:hint="eastAsia" w:ascii="仿宋" w:hAnsi="仿宋" w:eastAsia="仿宋"/>
          <w:b w:val="0"/>
          <w:bCs w:val="0"/>
          <w:color w:val="FF0000"/>
          <w:sz w:val="32"/>
          <w:szCs w:val="32"/>
        </w:rPr>
      </w:pPr>
      <w:r>
        <w:rPr>
          <w:rFonts w:hint="eastAsia" w:ascii="仿宋" w:hAnsi="仿宋" w:eastAsia="仿宋"/>
          <w:b w:val="0"/>
          <w:bCs w:val="0"/>
          <w:color w:val="FF0000"/>
          <w:sz w:val="32"/>
          <w:szCs w:val="32"/>
        </w:rPr>
        <w:t>（6月9日全天）</w:t>
      </w:r>
    </w:p>
    <w:p w14:paraId="297A95AE">
      <w:pPr>
        <w:pStyle w:val="3"/>
        <w:shd w:val="clear" w:color="auto" w:fill="FFFFFF"/>
        <w:spacing w:before="0" w:beforeAutospacing="0" w:after="150" w:afterAutospacing="0" w:line="400" w:lineRule="exact"/>
        <w:jc w:val="center"/>
        <w:rPr>
          <w:rFonts w:ascii="仿宋" w:hAnsi="仿宋" w:eastAsia="仿宋" w:cs="等线"/>
          <w:sz w:val="24"/>
          <w:szCs w:val="24"/>
        </w:rPr>
      </w:pPr>
      <w:r>
        <w:rPr>
          <w:rFonts w:hint="eastAsia" w:ascii="黑体" w:hAnsi="黑体" w:eastAsia="黑体" w:cs="黑体"/>
          <w:color w:val="FF0000"/>
          <w:sz w:val="28"/>
          <w:szCs w:val="28"/>
        </w:rPr>
        <w:t>同期举办世环会-污泥处置主题展 2026年6月9-11日</w:t>
      </w:r>
    </w:p>
    <w:p w14:paraId="1D8A6E52">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等线"/>
          <w:sz w:val="24"/>
          <w:szCs w:val="24"/>
        </w:rPr>
        <w:t>一</w:t>
      </w:r>
      <w:r>
        <w:rPr>
          <w:rFonts w:hint="eastAsia" w:ascii="仿宋" w:hAnsi="仿宋" w:eastAsia="仿宋" w:cs="等线"/>
          <w:b/>
          <w:bCs/>
          <w:sz w:val="24"/>
          <w:szCs w:val="24"/>
        </w:rPr>
        <w:t>、活动背景</w:t>
      </w:r>
    </w:p>
    <w:p w14:paraId="62B70C10">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356BE92">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51D9AB13">
      <w:pPr>
        <w:spacing w:line="320" w:lineRule="exact"/>
        <w:rPr>
          <w:rFonts w:hint="eastAsia" w:ascii="仿宋" w:hAnsi="仿宋" w:eastAsia="仿宋" w:cs="等线"/>
          <w:b/>
          <w:bCs/>
          <w:sz w:val="24"/>
          <w:szCs w:val="24"/>
        </w:rPr>
      </w:pPr>
      <w:bookmarkStart w:id="0" w:name="_Hlk165295966"/>
    </w:p>
    <w:p w14:paraId="2684CF0C">
      <w:pPr>
        <w:numPr>
          <w:ilvl w:val="0"/>
          <w:numId w:val="1"/>
        </w:numPr>
        <w:spacing w:line="320" w:lineRule="exact"/>
        <w:rPr>
          <w:rFonts w:hint="eastAsia" w:ascii="仿宋" w:hAnsi="仿宋" w:eastAsia="仿宋" w:cs="等线"/>
          <w:b/>
          <w:bCs/>
          <w:sz w:val="24"/>
          <w:szCs w:val="24"/>
        </w:rPr>
      </w:pPr>
      <w:r>
        <w:rPr>
          <w:rFonts w:ascii="宋体" w:hAnsi="宋体"/>
          <w:color w:val="000000"/>
          <w:kern w:val="0"/>
          <w:szCs w:val="21"/>
        </w:rPr>
        <w:drawing>
          <wp:anchor distT="0" distB="0" distL="114300" distR="114300" simplePos="0" relativeHeight="251662336" behindDoc="0" locked="0" layoutInCell="1" allowOverlap="1">
            <wp:simplePos x="0" y="0"/>
            <wp:positionH relativeFrom="column">
              <wp:posOffset>3225800</wp:posOffset>
            </wp:positionH>
            <wp:positionV relativeFrom="paragraph">
              <wp:posOffset>187960</wp:posOffset>
            </wp:positionV>
            <wp:extent cx="1505585" cy="1505585"/>
            <wp:effectExtent l="0" t="0" r="18415" b="18415"/>
            <wp:wrapNone/>
            <wp:docPr id="3" name="图片 19" descr="水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水章"/>
                    <pic:cNvPicPr>
                      <a:picLocks noChangeAspect="1"/>
                    </pic:cNvPicPr>
                  </pic:nvPicPr>
                  <pic:blipFill>
                    <a:blip r:embed="rId4"/>
                    <a:stretch>
                      <a:fillRect/>
                    </a:stretch>
                  </pic:blipFill>
                  <pic:spPr>
                    <a:xfrm>
                      <a:off x="0" y="0"/>
                      <a:ext cx="1505585" cy="1505585"/>
                    </a:xfrm>
                    <a:prstGeom prst="rect">
                      <a:avLst/>
                    </a:prstGeom>
                    <a:noFill/>
                    <a:ln>
                      <a:noFill/>
                    </a:ln>
                  </pic:spPr>
                </pic:pic>
              </a:graphicData>
            </a:graphic>
          </wp:anchor>
        </w:drawing>
      </w:r>
      <w:r>
        <w:rPr>
          <w:rFonts w:hint="eastAsia" w:ascii="仿宋" w:hAnsi="仿宋" w:eastAsia="仿宋" w:cs="等线"/>
          <w:b/>
          <w:bCs/>
          <w:sz w:val="24"/>
          <w:szCs w:val="24"/>
        </w:rPr>
        <w:t>组织机构</w:t>
      </w:r>
    </w:p>
    <w:p w14:paraId="5007BC5A">
      <w:pPr>
        <w:pStyle w:val="10"/>
        <w:spacing w:line="320" w:lineRule="exact"/>
        <w:rPr>
          <w:rFonts w:hint="eastAsia"/>
        </w:rPr>
      </w:pPr>
    </w:p>
    <w:p w14:paraId="53D19CFD">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r>
        <w:rPr>
          <w:rFonts w:hint="eastAsia" w:ascii="黑体" w:hAnsi="黑体" w:eastAsia="黑体" w:cs="黑体"/>
          <w:color w:val="000000"/>
          <w:kern w:val="0"/>
          <w:szCs w:val="21"/>
        </w:rPr>
        <w:drawing>
          <wp:anchor distT="0" distB="0" distL="114300" distR="114300" simplePos="0" relativeHeight="251661312" behindDoc="0" locked="0" layoutInCell="1" allowOverlap="1">
            <wp:simplePos x="0" y="0"/>
            <wp:positionH relativeFrom="column">
              <wp:posOffset>3641725</wp:posOffset>
            </wp:positionH>
            <wp:positionV relativeFrom="paragraph">
              <wp:posOffset>6710680</wp:posOffset>
            </wp:positionV>
            <wp:extent cx="1505585" cy="1505585"/>
            <wp:effectExtent l="0" t="0" r="18415" b="18415"/>
            <wp:wrapNone/>
            <wp:docPr id="2" name="图片 19" descr="水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水章"/>
                    <pic:cNvPicPr>
                      <a:picLocks noChangeAspect="1"/>
                    </pic:cNvPicPr>
                  </pic:nvPicPr>
                  <pic:blipFill>
                    <a:blip r:embed="rId4"/>
                    <a:stretch>
                      <a:fillRect/>
                    </a:stretch>
                  </pic:blipFill>
                  <pic:spPr>
                    <a:xfrm>
                      <a:off x="0" y="0"/>
                      <a:ext cx="1505585" cy="1505585"/>
                    </a:xfrm>
                    <a:prstGeom prst="rect">
                      <a:avLst/>
                    </a:prstGeom>
                    <a:noFill/>
                    <a:ln>
                      <a:noFill/>
                    </a:ln>
                  </pic:spPr>
                </pic:pic>
              </a:graphicData>
            </a:graphic>
          </wp:anchor>
        </w:drawing>
      </w:r>
    </w:p>
    <w:p w14:paraId="2B807D03">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7B48B387">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2F1C414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6A00DE6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3E607280">
      <w:pPr>
        <w:spacing w:line="320" w:lineRule="exact"/>
        <w:rPr>
          <w:rFonts w:hint="eastAsia" w:ascii="黑体" w:hAnsi="黑体" w:eastAsia="黑体" w:cs="黑体"/>
          <w:sz w:val="24"/>
          <w:szCs w:val="24"/>
        </w:rPr>
      </w:pPr>
    </w:p>
    <w:p w14:paraId="15157FF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74DB6DBD">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210DD649">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2AE27448">
      <w:pPr>
        <w:spacing w:line="320" w:lineRule="exact"/>
        <w:rPr>
          <w:rFonts w:hint="eastAsia" w:ascii="黑体" w:hAnsi="黑体" w:eastAsia="黑体" w:cs="黑体"/>
          <w:sz w:val="24"/>
          <w:szCs w:val="24"/>
        </w:rPr>
      </w:pPr>
      <w:r>
        <w:rPr>
          <w:rFonts w:hint="eastAsia" w:ascii="黑体" w:hAnsi="黑体" w:eastAsia="黑体" w:cs="黑体"/>
          <w:sz w:val="24"/>
          <w:szCs w:val="24"/>
        </w:rPr>
        <w:t>《中国给水排水》品牌委员会</w:t>
      </w:r>
    </w:p>
    <w:p w14:paraId="4C93A5C1">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74AAE69">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6711CF0E">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31412EEB">
      <w:pPr>
        <w:spacing w:line="320" w:lineRule="exact"/>
        <w:rPr>
          <w:rFonts w:hint="eastAsia" w:ascii="黑体" w:hAnsi="黑体" w:eastAsia="黑体" w:cs="黑体"/>
          <w:sz w:val="24"/>
          <w:szCs w:val="24"/>
        </w:rPr>
      </w:pPr>
      <w:r>
        <w:rPr>
          <w:rFonts w:hint="eastAsia" w:ascii="黑体" w:hAnsi="黑体" w:eastAsia="黑体" w:cs="黑体"/>
          <w:sz w:val="24"/>
          <w:szCs w:val="24"/>
        </w:rPr>
        <w:t>环境生态工程研究中心</w:t>
      </w:r>
    </w:p>
    <w:p w14:paraId="2CB1B740">
      <w:pPr>
        <w:spacing w:line="320" w:lineRule="exact"/>
        <w:rPr>
          <w:rFonts w:hint="eastAsia" w:ascii="黑体" w:hAnsi="黑体" w:eastAsia="黑体" w:cs="黑体"/>
          <w:sz w:val="24"/>
          <w:szCs w:val="24"/>
        </w:rPr>
      </w:pPr>
      <w:r>
        <w:rPr>
          <w:rFonts w:hint="eastAsia" w:ascii="黑体" w:hAnsi="黑体" w:eastAsia="黑体" w:cs="黑体"/>
          <w:sz w:val="24"/>
          <w:szCs w:val="24"/>
        </w:rPr>
        <w:t>北京建筑大学环境与能源工程学院</w:t>
      </w:r>
    </w:p>
    <w:p w14:paraId="38CFEFD6">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144B9478">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6DA32B1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p>
    <w:p w14:paraId="2EBAE79D">
      <w:pPr>
        <w:spacing w:line="32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上海富产机械科技有限公司</w:t>
      </w:r>
    </w:p>
    <w:p w14:paraId="7EE2FA8A">
      <w:pPr>
        <w:spacing w:line="32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无锡买山环保装备有限公司</w:t>
      </w:r>
    </w:p>
    <w:p w14:paraId="328B7A30">
      <w:pPr>
        <w:spacing w:line="320" w:lineRule="exact"/>
        <w:rPr>
          <w:rFonts w:hint="eastAsia" w:ascii="黑体" w:hAnsi="黑体" w:eastAsia="黑体" w:cs="黑体"/>
          <w:sz w:val="24"/>
          <w:szCs w:val="24"/>
        </w:rPr>
      </w:pPr>
      <w:r>
        <w:rPr>
          <w:rFonts w:hint="eastAsia" w:ascii="黑体" w:hAnsi="黑体" w:eastAsia="黑体" w:cs="黑体"/>
          <w:b/>
          <w:bCs/>
          <w:color w:val="FF0000"/>
          <w:sz w:val="24"/>
          <w:szCs w:val="24"/>
        </w:rPr>
        <w:t>江苏凯亚环保科技有限公司</w:t>
      </w:r>
      <w:r>
        <w:rPr>
          <w:rFonts w:hint="eastAsia" w:ascii="黑体" w:hAnsi="黑体" w:eastAsia="黑体" w:cs="黑体"/>
          <w:b/>
          <w:bCs/>
          <w:color w:val="FF0000"/>
          <w:sz w:val="24"/>
          <w:szCs w:val="24"/>
          <w:lang w:val="en-US" w:eastAsia="zh-CN"/>
        </w:rPr>
        <w:t xml:space="preserve"> </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2BDB5EED">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p w14:paraId="19D57B9F">
      <w:pPr>
        <w:widowControl/>
        <w:spacing w:line="320" w:lineRule="exact"/>
        <w:rPr>
          <w:rFonts w:hint="eastAsia" w:ascii="黑体" w:hAnsi="黑体" w:eastAsia="黑体" w:cs="黑体"/>
          <w:color w:val="000000"/>
          <w:sz w:val="24"/>
          <w:szCs w:val="24"/>
        </w:rPr>
      </w:pPr>
    </w:p>
    <w:bookmarkEnd w:id="0"/>
    <w:p w14:paraId="10696A73">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372588C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35FD33A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4DB45794">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1A90998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385F15A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2CD9AC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14B89819">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08AFA099">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54B0B2D2">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19C906B2">
      <w:pPr>
        <w:pStyle w:val="10"/>
        <w:spacing w:line="320" w:lineRule="exact"/>
        <w:rPr>
          <w:rFonts w:hint="eastAsia" w:ascii="仿宋" w:hAnsi="仿宋" w:eastAsia="仿宋" w:cs="等线"/>
          <w:b/>
          <w:bCs/>
          <w:sz w:val="24"/>
          <w:szCs w:val="24"/>
        </w:rPr>
      </w:pPr>
    </w:p>
    <w:p w14:paraId="50129D6D">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752E325D">
      <w:pPr>
        <w:pStyle w:val="10"/>
        <w:spacing w:line="400" w:lineRule="exact"/>
        <w:rPr>
          <w:rFonts w:hint="eastAsia" w:ascii="仿宋" w:hAnsi="仿宋" w:eastAsia="仿宋" w:cs="等线"/>
          <w:color w:val="FF0000"/>
          <w:kern w:val="2"/>
          <w:sz w:val="24"/>
          <w:szCs w:val="24"/>
        </w:rPr>
      </w:pPr>
      <w:r>
        <w:rPr>
          <w:rFonts w:hint="eastAsia" w:ascii="仿宋" w:hAnsi="仿宋" w:eastAsia="仿宋" w:cs="等线"/>
          <w:b/>
          <w:bCs/>
          <w:sz w:val="24"/>
          <w:szCs w:val="24"/>
        </w:rPr>
        <w:t>污泥（固废）处置设备: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rPr>
        <w:t>、</w:t>
      </w:r>
      <w:r>
        <w:rPr>
          <w:rFonts w:hint="eastAsia" w:ascii="仿宋" w:hAnsi="仿宋" w:eastAsia="仿宋" w:cs="等线"/>
          <w:color w:val="FF0000"/>
          <w:kern w:val="2"/>
          <w:sz w:val="24"/>
          <w:szCs w:val="24"/>
        </w:rPr>
        <w:t>有机固废资源化利用技术及装备、工业污泥油泥处置及资源化利用技术于装备等。</w:t>
      </w:r>
    </w:p>
    <w:p w14:paraId="084F1CD7">
      <w:pPr>
        <w:pStyle w:val="10"/>
        <w:spacing w:line="400" w:lineRule="exact"/>
        <w:rPr>
          <w:rFonts w:hint="eastAsia" w:ascii="仿宋" w:hAnsi="仿宋" w:eastAsia="仿宋" w:cs="等线"/>
          <w:kern w:val="2"/>
          <w:sz w:val="24"/>
          <w:szCs w:val="24"/>
        </w:rPr>
      </w:pPr>
      <w:r>
        <w:rPr>
          <w:rFonts w:hint="eastAsia" w:ascii="仿宋" w:hAnsi="仿宋" w:eastAsia="仿宋" w:cs="等线"/>
          <w:b/>
          <w:bCs/>
          <w:sz w:val="24"/>
          <w:szCs w:val="24"/>
        </w:rPr>
        <w:t>污泥（固废）</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rPr>
        <w:t>、有机固废资源化利于技术、</w:t>
      </w:r>
      <w:r>
        <w:rPr>
          <w:rFonts w:hint="eastAsia" w:ascii="仿宋" w:hAnsi="仿宋" w:eastAsia="仿宋" w:cs="等线"/>
          <w:color w:val="FF0000"/>
          <w:kern w:val="2"/>
          <w:sz w:val="24"/>
          <w:szCs w:val="24"/>
        </w:rPr>
        <w:t>工业污泥油泥处置及资源化利用技术于装备</w:t>
      </w:r>
      <w:r>
        <w:rPr>
          <w:rFonts w:ascii="仿宋" w:hAnsi="仿宋" w:eastAsia="仿宋" w:cs="等线"/>
          <w:kern w:val="2"/>
          <w:sz w:val="24"/>
          <w:szCs w:val="24"/>
        </w:rPr>
        <w:t>等。</w:t>
      </w:r>
    </w:p>
    <w:p w14:paraId="5E120BBE">
      <w:pPr>
        <w:rPr>
          <w:rFonts w:hint="eastAsia" w:ascii="仿宋" w:hAnsi="仿宋" w:eastAsia="仿宋" w:cs="等线"/>
          <w:sz w:val="24"/>
          <w:szCs w:val="24"/>
        </w:rPr>
      </w:pPr>
    </w:p>
    <w:p w14:paraId="7559553B">
      <w:pPr>
        <w:rPr>
          <w:rFonts w:hint="eastAsia" w:ascii="仿宋" w:hAnsi="仿宋" w:eastAsia="仿宋" w:cs="等线"/>
          <w:sz w:val="24"/>
          <w:szCs w:val="24"/>
        </w:rPr>
      </w:pPr>
    </w:p>
    <w:p w14:paraId="7F27B722">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527475FC">
      <w:pPr>
        <w:rPr>
          <w:rFonts w:hint="eastAsia" w:ascii="仿宋" w:hAnsi="仿宋" w:eastAsia="仿宋" w:cs="等线"/>
          <w:sz w:val="24"/>
          <w:szCs w:val="24"/>
        </w:rPr>
      </w:pPr>
    </w:p>
    <w:p w14:paraId="58DF347D">
      <w:pPr>
        <w:rPr>
          <w:rFonts w:hint="eastAsia" w:ascii="仿宋" w:hAnsi="仿宋" w:eastAsia="仿宋" w:cs="等线"/>
          <w:sz w:val="24"/>
          <w:szCs w:val="24"/>
        </w:rPr>
      </w:pPr>
    </w:p>
    <w:p w14:paraId="05ED877D">
      <w:pPr>
        <w:rPr>
          <w:rFonts w:hint="eastAsia" w:ascii="仿宋" w:hAnsi="仿宋" w:eastAsia="仿宋" w:cs="等线"/>
          <w:sz w:val="24"/>
          <w:szCs w:val="24"/>
        </w:rPr>
      </w:pPr>
      <w:r>
        <w:rPr>
          <w:rFonts w:ascii="宋体" w:hAnsi="宋体" w:cs="宋体"/>
          <w:sz w:val="24"/>
          <w:szCs w:val="24"/>
        </w:rPr>
        <w:drawing>
          <wp:inline distT="0" distB="0" distL="114300" distR="114300">
            <wp:extent cx="1447800" cy="14478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5"/>
                    <a:stretch>
                      <a:fillRect/>
                    </a:stretch>
                  </pic:blipFill>
                  <pic:spPr>
                    <a:xfrm>
                      <a:off x="0" y="0"/>
                      <a:ext cx="1447800" cy="1447800"/>
                    </a:xfrm>
                    <a:prstGeom prst="rect">
                      <a:avLst/>
                    </a:prstGeom>
                    <a:noFill/>
                    <a:ln w="9525">
                      <a:noFill/>
                    </a:ln>
                  </pic:spPr>
                </pic:pic>
              </a:graphicData>
            </a:graphic>
          </wp:inline>
        </w:drawing>
      </w:r>
    </w:p>
    <w:p w14:paraId="1ED646A7">
      <w:pPr>
        <w:spacing w:line="320" w:lineRule="exact"/>
        <w:rPr>
          <w:rFonts w:ascii="仿宋" w:hAnsi="仿宋" w:eastAsia="仿宋" w:cs="等线"/>
          <w:b/>
          <w:bCs/>
          <w:sz w:val="24"/>
          <w:szCs w:val="24"/>
        </w:rPr>
      </w:pPr>
    </w:p>
    <w:p w14:paraId="34229B8B">
      <w:pPr>
        <w:spacing w:line="320" w:lineRule="exact"/>
        <w:rPr>
          <w:rFonts w:ascii="仿宋" w:hAnsi="仿宋" w:eastAsia="仿宋" w:cs="等线"/>
          <w:b/>
          <w:bCs/>
          <w:sz w:val="24"/>
          <w:szCs w:val="24"/>
        </w:rPr>
      </w:pPr>
    </w:p>
    <w:p w14:paraId="16FE1B55">
      <w:pPr>
        <w:spacing w:line="320" w:lineRule="exact"/>
        <w:rPr>
          <w:rFonts w:ascii="仿宋" w:hAnsi="仿宋" w:eastAsia="仿宋" w:cs="等线"/>
          <w:b/>
          <w:bCs/>
          <w:sz w:val="24"/>
          <w:szCs w:val="24"/>
        </w:rPr>
      </w:pPr>
    </w:p>
    <w:p w14:paraId="057EA257">
      <w:pPr>
        <w:spacing w:line="320" w:lineRule="exact"/>
        <w:rPr>
          <w:rFonts w:ascii="仿宋" w:hAnsi="仿宋" w:eastAsia="仿宋" w:cs="等线"/>
          <w:b/>
          <w:bCs/>
          <w:sz w:val="24"/>
          <w:szCs w:val="24"/>
        </w:rPr>
      </w:pPr>
    </w:p>
    <w:p w14:paraId="1F79CEB8">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1EFC222B">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49B77D6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1F5196BB">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18104905">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43CE0A6D">
      <w:pPr>
        <w:spacing w:line="320" w:lineRule="exact"/>
        <w:rPr>
          <w:rFonts w:hint="eastAsia" w:ascii="仿宋" w:hAnsi="仿宋" w:eastAsia="仿宋" w:cs="等线"/>
          <w:b/>
          <w:bCs/>
          <w:sz w:val="24"/>
          <w:szCs w:val="24"/>
        </w:rPr>
      </w:pPr>
    </w:p>
    <w:p w14:paraId="5272C79F">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1860F84E">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B227E22">
      <w:pPr>
        <w:spacing w:line="320" w:lineRule="exact"/>
      </w:pPr>
      <w:r>
        <w:drawing>
          <wp:anchor distT="0" distB="0" distL="114300" distR="114300" simplePos="0" relativeHeight="251660288"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554DC839">
      <w:pPr>
        <w:spacing w:line="320" w:lineRule="exact"/>
      </w:pPr>
    </w:p>
    <w:p w14:paraId="240725CD">
      <w:pPr>
        <w:spacing w:line="320" w:lineRule="exact"/>
        <w:rPr>
          <w:rFonts w:hint="eastAsia" w:ascii="仿宋" w:hAnsi="仿宋" w:eastAsia="仿宋" w:cs="等线"/>
          <w:szCs w:val="21"/>
        </w:rPr>
      </w:pPr>
    </w:p>
    <w:p w14:paraId="4141DCF3">
      <w:pPr>
        <w:pStyle w:val="10"/>
        <w:spacing w:line="320" w:lineRule="exact"/>
        <w:rPr>
          <w:rFonts w:hint="eastAsia"/>
        </w:rPr>
      </w:pPr>
    </w:p>
    <w:p w14:paraId="16C627F4">
      <w:pPr>
        <w:spacing w:line="320" w:lineRule="exact"/>
      </w:pPr>
    </w:p>
    <w:p w14:paraId="4AF76EAB">
      <w:pPr>
        <w:pStyle w:val="10"/>
        <w:spacing w:line="320" w:lineRule="exact"/>
        <w:rPr>
          <w:rFonts w:hint="eastAsia"/>
        </w:rPr>
      </w:pPr>
    </w:p>
    <w:p w14:paraId="115D6459">
      <w:pPr>
        <w:spacing w:line="320" w:lineRule="exact"/>
      </w:pPr>
    </w:p>
    <w:p w14:paraId="46DF7616">
      <w:pPr>
        <w:spacing w:line="320" w:lineRule="exact"/>
      </w:pPr>
    </w:p>
    <w:p w14:paraId="05C1F5F9">
      <w:pPr>
        <w:spacing w:line="320" w:lineRule="exact"/>
      </w:pPr>
    </w:p>
    <w:p w14:paraId="7D060BF9">
      <w:pPr>
        <w:spacing w:line="320" w:lineRule="exact"/>
      </w:pPr>
    </w:p>
    <w:p w14:paraId="6C064A56">
      <w:pPr>
        <w:spacing w:line="320" w:lineRule="exact"/>
      </w:pPr>
    </w:p>
    <w:p w14:paraId="485EC140">
      <w:pPr>
        <w:pStyle w:val="10"/>
        <w:spacing w:line="320" w:lineRule="exact"/>
        <w:rPr>
          <w:rFonts w:hint="eastAsia"/>
        </w:rPr>
      </w:pPr>
    </w:p>
    <w:p w14:paraId="76287F66">
      <w:pPr>
        <w:spacing w:line="320" w:lineRule="exact"/>
      </w:pPr>
    </w:p>
    <w:p w14:paraId="0AAC7361">
      <w:pPr>
        <w:pStyle w:val="10"/>
        <w:spacing w:line="320" w:lineRule="exact"/>
        <w:rPr>
          <w:rFonts w:hint="eastAsia"/>
        </w:rPr>
      </w:pPr>
    </w:p>
    <w:p w14:paraId="72FB7442">
      <w:pPr>
        <w:spacing w:line="320" w:lineRule="exact"/>
        <w:rPr>
          <w:rFonts w:hint="eastAsia" w:ascii="仿宋" w:hAnsi="仿宋" w:eastAsia="仿宋" w:cs="等线"/>
          <w:b/>
          <w:bCs/>
          <w:sz w:val="24"/>
          <w:szCs w:val="24"/>
        </w:rPr>
      </w:pPr>
    </w:p>
    <w:p w14:paraId="33A7FE4A">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ED32F87">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rPr>
        <w:t>。</w:t>
      </w:r>
    </w:p>
    <w:p w14:paraId="16D3354C">
      <w:pPr>
        <w:spacing w:line="400" w:lineRule="exact"/>
        <w:rPr>
          <w:rFonts w:hint="eastAsia" w:ascii="仿宋" w:hAnsi="仿宋" w:eastAsia="仿宋" w:cs="等线"/>
          <w:sz w:val="24"/>
          <w:szCs w:val="24"/>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rPr>
        <w:t>。</w:t>
      </w:r>
    </w:p>
    <w:p w14:paraId="3FB063A0">
      <w:pPr>
        <w:spacing w:line="400" w:lineRule="exact"/>
        <w:rPr>
          <w:rFonts w:hint="eastAsia" w:ascii="仿宋" w:hAnsi="仿宋" w:eastAsia="仿宋" w:cs="等线"/>
          <w:sz w:val="24"/>
          <w:szCs w:val="24"/>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rPr>
        <w:t>。</w:t>
      </w:r>
    </w:p>
    <w:p w14:paraId="6CEAC1BF">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rPr>
        <w:t>。</w:t>
      </w:r>
    </w:p>
    <w:p w14:paraId="0517A750">
      <w:pPr>
        <w:spacing w:line="400" w:lineRule="exact"/>
        <w:rPr>
          <w:rFonts w:hint="eastAsia" w:ascii="仿宋" w:hAnsi="仿宋" w:eastAsia="仿宋" w:cs="等线"/>
          <w:sz w:val="24"/>
          <w:szCs w:val="24"/>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rPr>
        <w:t>。</w:t>
      </w:r>
    </w:p>
    <w:p w14:paraId="777A6354">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rPr>
        <w:t>。</w:t>
      </w:r>
    </w:p>
    <w:p w14:paraId="2D41815B">
      <w:pPr>
        <w:spacing w:line="400" w:lineRule="exact"/>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7.</w:t>
      </w:r>
      <w:r>
        <w:rPr>
          <w:rFonts w:ascii="仿宋" w:hAnsi="仿宋" w:eastAsia="仿宋" w:cs="等线"/>
          <w:color w:val="000000" w:themeColor="text1"/>
          <w:sz w:val="24"/>
          <w:szCs w:val="24"/>
          <w14:textFill>
            <w14:solidFill>
              <w14:schemeClr w14:val="tx1"/>
            </w14:solidFill>
          </w14:textFill>
        </w:rPr>
        <w:t>国家“十</w:t>
      </w:r>
      <w:r>
        <w:rPr>
          <w:rFonts w:hint="eastAsia" w:ascii="仿宋" w:hAnsi="仿宋" w:eastAsia="仿宋" w:cs="等线"/>
          <w:color w:val="000000" w:themeColor="text1"/>
          <w:sz w:val="24"/>
          <w:szCs w:val="24"/>
          <w14:textFill>
            <w14:solidFill>
              <w14:schemeClr w14:val="tx1"/>
            </w14:solidFill>
          </w14:textFill>
        </w:rPr>
        <w:t>五</w:t>
      </w:r>
      <w:r>
        <w:rPr>
          <w:rFonts w:ascii="仿宋" w:hAnsi="仿宋" w:eastAsia="仿宋" w:cs="等线"/>
          <w:color w:val="000000" w:themeColor="text1"/>
          <w:sz w:val="24"/>
          <w:szCs w:val="24"/>
          <w14:textFill>
            <w14:solidFill>
              <w14:schemeClr w14:val="tx1"/>
            </w14:solidFill>
          </w14:textFill>
        </w:rPr>
        <w:t>五”城镇污泥处理处置设施建设规划的总体思路及投资热点</w:t>
      </w:r>
      <w:r>
        <w:rPr>
          <w:rFonts w:hint="eastAsia" w:ascii="仿宋" w:hAnsi="仿宋" w:eastAsia="仿宋" w:cs="等线"/>
          <w:color w:val="000000" w:themeColor="text1"/>
          <w:sz w:val="24"/>
          <w:szCs w:val="24"/>
          <w14:textFill>
            <w14:solidFill>
              <w14:schemeClr w14:val="tx1"/>
            </w14:solidFill>
          </w14:textFill>
        </w:rPr>
        <w:t>。</w:t>
      </w:r>
    </w:p>
    <w:p w14:paraId="450C5301">
      <w:pPr>
        <w:pStyle w:val="10"/>
        <w:spacing w:line="400" w:lineRule="exact"/>
        <w:rPr>
          <w:rFonts w:hint="eastAsia" w:ascii="仿宋" w:hAnsi="仿宋" w:eastAsia="仿宋" w:cs="等线"/>
          <w:color w:val="000000" w:themeColor="text1"/>
          <w:kern w:val="2"/>
          <w:sz w:val="24"/>
          <w:szCs w:val="24"/>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8.</w:t>
      </w:r>
      <w:r>
        <w:rPr>
          <w:rFonts w:ascii="仿宋" w:hAnsi="仿宋" w:eastAsia="仿宋" w:cs="等线"/>
          <w:color w:val="000000" w:themeColor="text1"/>
          <w:kern w:val="2"/>
          <w:sz w:val="24"/>
          <w:szCs w:val="24"/>
          <w14:textFill>
            <w14:solidFill>
              <w14:schemeClr w14:val="tx1"/>
            </w14:solidFill>
          </w14:textFill>
        </w:rPr>
        <w:t>智慧水务、智慧环保、智慧污泥处理处置</w:t>
      </w:r>
      <w:r>
        <w:rPr>
          <w:rFonts w:hint="eastAsia" w:ascii="仿宋" w:hAnsi="仿宋" w:eastAsia="仿宋" w:cs="等线"/>
          <w:color w:val="000000" w:themeColor="text1"/>
          <w:kern w:val="2"/>
          <w:sz w:val="24"/>
          <w:szCs w:val="24"/>
          <w14:textFill>
            <w14:solidFill>
              <w14:schemeClr w14:val="tx1"/>
            </w14:solidFill>
          </w14:textFill>
        </w:rPr>
        <w:t>。</w:t>
      </w:r>
    </w:p>
    <w:p w14:paraId="04D92A21">
      <w:pPr>
        <w:pStyle w:val="10"/>
        <w:spacing w:line="400" w:lineRule="exact"/>
        <w:rPr>
          <w:rFonts w:hint="eastAsia" w:ascii="仿宋" w:hAnsi="仿宋" w:eastAsia="仿宋" w:cs="等线"/>
          <w:color w:val="000000" w:themeColor="text1"/>
          <w:kern w:val="2"/>
          <w:sz w:val="24"/>
          <w:szCs w:val="24"/>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9.</w:t>
      </w:r>
      <w:r>
        <w:rPr>
          <w:rFonts w:ascii="仿宋" w:hAnsi="仿宋" w:eastAsia="仿宋" w:cs="等线"/>
          <w:color w:val="000000" w:themeColor="text1"/>
          <w:kern w:val="2"/>
          <w:sz w:val="24"/>
          <w:szCs w:val="24"/>
          <w14:textFill>
            <w14:solidFill>
              <w14:schemeClr w14:val="tx1"/>
            </w14:solidFill>
          </w14:textFill>
        </w:rPr>
        <w:t>高效污泥脱水技术与装备</w:t>
      </w:r>
      <w:r>
        <w:rPr>
          <w:rFonts w:hint="eastAsia" w:ascii="仿宋" w:hAnsi="仿宋" w:eastAsia="仿宋" w:cs="等线"/>
          <w:color w:val="000000" w:themeColor="text1"/>
          <w:kern w:val="2"/>
          <w:sz w:val="24"/>
          <w:szCs w:val="24"/>
          <w14:textFill>
            <w14:solidFill>
              <w14:schemeClr w14:val="tx1"/>
            </w14:solidFill>
          </w14:textFill>
        </w:rPr>
        <w:t>。</w:t>
      </w:r>
    </w:p>
    <w:p w14:paraId="1A31E285">
      <w:pPr>
        <w:spacing w:line="400" w:lineRule="exact"/>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10.</w:t>
      </w:r>
      <w:r>
        <w:rPr>
          <w:rFonts w:ascii="仿宋" w:hAnsi="仿宋" w:eastAsia="仿宋" w:cs="等线"/>
          <w:color w:val="000000" w:themeColor="text1"/>
          <w:sz w:val="24"/>
          <w:szCs w:val="24"/>
          <w14:textFill>
            <w14:solidFill>
              <w14:schemeClr w14:val="tx1"/>
            </w14:solidFill>
          </w14:textFill>
        </w:rPr>
        <w:t>城市污水处理厂污泥处理处置技术调研报告和市场分析</w:t>
      </w:r>
      <w:r>
        <w:rPr>
          <w:rFonts w:hint="eastAsia" w:ascii="仿宋" w:hAnsi="仿宋" w:eastAsia="仿宋" w:cs="等线"/>
          <w:color w:val="000000" w:themeColor="text1"/>
          <w:sz w:val="24"/>
          <w:szCs w:val="24"/>
          <w14:textFill>
            <w14:solidFill>
              <w14:schemeClr w14:val="tx1"/>
            </w14:solidFill>
          </w14:textFill>
        </w:rPr>
        <w:t>。</w:t>
      </w:r>
    </w:p>
    <w:p w14:paraId="06CBDA71">
      <w:pPr>
        <w:spacing w:line="400" w:lineRule="exact"/>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 xml:space="preserve">11、污泥处理处置技术在畜牧行业应用的热点议题，聚焦政策合规升级、无害化与养分安全（技术升级）、资源化高值化（有机肥 / 饲料化 / 能源化）、低碳协同处理、技术降本与市场落地等。 </w:t>
      </w:r>
    </w:p>
    <w:p w14:paraId="5587D786">
      <w:pPr>
        <w:spacing w:line="400" w:lineRule="exact"/>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12、水业（污泥）热点问题探讨。</w:t>
      </w:r>
    </w:p>
    <w:p w14:paraId="203CC8AD">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报告题目：污泥全流程处理处置技术及其工程应用</w:t>
      </w:r>
    </w:p>
    <w:p w14:paraId="56EB4E3E">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报告人：上海市政工程设计研究总院(集团)有限公司 胡维杰 三院总工</w:t>
      </w:r>
    </w:p>
    <w:p w14:paraId="1C257F9C">
      <w:pPr>
        <w:spacing w:line="400" w:lineRule="exact"/>
        <w:rPr>
          <w:rFonts w:hint="eastAsia" w:ascii="黑体" w:hAnsi="黑体" w:eastAsia="黑体" w:cs="黑体"/>
          <w:b/>
          <w:bCs/>
          <w:color w:val="FF0000"/>
          <w:sz w:val="24"/>
          <w:szCs w:val="24"/>
        </w:rPr>
      </w:pPr>
    </w:p>
    <w:p w14:paraId="659D4A67">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 低碳高效・泥尽其用 —— 城市污泥低碳处置与资源化利用   </w:t>
      </w:r>
    </w:p>
    <w:p w14:paraId="5E3C3D3D">
      <w:pPr>
        <w:spacing w:line="400" w:lineRule="exact"/>
        <w:rPr>
          <w:rFonts w:hint="eastAsia" w:ascii="黑体" w:hAnsi="黑体" w:eastAsia="黑体" w:cs="黑体"/>
          <w:b/>
          <w:bCs/>
          <w:color w:val="FF0000"/>
          <w:sz w:val="24"/>
          <w:szCs w:val="24"/>
          <w:lang w:eastAsia="zh-CN"/>
        </w:rPr>
      </w:pPr>
      <w:r>
        <w:rPr>
          <w:rFonts w:hint="eastAsia" w:ascii="黑体" w:hAnsi="黑体" w:eastAsia="黑体" w:cs="黑体"/>
          <w:b/>
          <w:bCs/>
          <w:color w:val="FF0000"/>
          <w:sz w:val="24"/>
          <w:szCs w:val="24"/>
        </w:rPr>
        <w:t>报告人：上海市城市建设设计研究总院(集团)有限公司  黄瑾 教授级高工/ 副总工</w:t>
      </w:r>
      <w:r>
        <w:rPr>
          <w:rFonts w:hint="eastAsia" w:ascii="黑体" w:hAnsi="黑体" w:eastAsia="黑体" w:cs="黑体"/>
          <w:b/>
          <w:bCs/>
          <w:color w:val="FF0000"/>
          <w:sz w:val="24"/>
          <w:szCs w:val="24"/>
          <w:lang w:eastAsia="zh-CN"/>
        </w:rPr>
        <w:t>（</w:t>
      </w:r>
      <w:r>
        <w:rPr>
          <w:rFonts w:hint="eastAsia" w:ascii="黑体" w:hAnsi="黑体" w:eastAsia="黑体" w:cs="黑体"/>
          <w:b/>
          <w:bCs/>
          <w:color w:val="FF0000"/>
          <w:sz w:val="24"/>
          <w:szCs w:val="24"/>
          <w:lang w:val="en-US" w:eastAsia="zh-CN"/>
        </w:rPr>
        <w:t>上午</w:t>
      </w:r>
      <w:r>
        <w:rPr>
          <w:rFonts w:hint="eastAsia" w:ascii="黑体" w:hAnsi="黑体" w:eastAsia="黑体" w:cs="黑体"/>
          <w:b/>
          <w:bCs/>
          <w:color w:val="FF0000"/>
          <w:sz w:val="24"/>
          <w:szCs w:val="24"/>
          <w:lang w:eastAsia="zh-CN"/>
        </w:rPr>
        <w:t>）</w:t>
      </w:r>
    </w:p>
    <w:p w14:paraId="4806359C">
      <w:pPr>
        <w:spacing w:line="400" w:lineRule="exact"/>
        <w:rPr>
          <w:rFonts w:hint="eastAsia" w:ascii="黑体" w:hAnsi="黑体" w:eastAsia="黑体" w:cs="黑体"/>
          <w:b/>
          <w:bCs/>
          <w:color w:val="FF0000"/>
          <w:sz w:val="24"/>
          <w:szCs w:val="24"/>
        </w:rPr>
      </w:pPr>
    </w:p>
    <w:p w14:paraId="31438374">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报告题目：《有机垃圾化学法生产碳源技术》   </w:t>
      </w:r>
    </w:p>
    <w:p w14:paraId="0616D48F">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报告人：同济大学  赵由才  长聘教授/博导</w:t>
      </w:r>
    </w:p>
    <w:p w14:paraId="34E51624">
      <w:pPr>
        <w:spacing w:line="400" w:lineRule="exact"/>
        <w:rPr>
          <w:rFonts w:hint="eastAsia" w:ascii="黑体" w:hAnsi="黑体" w:eastAsia="黑体" w:cs="黑体"/>
          <w:b/>
          <w:bCs/>
          <w:color w:val="FF0000"/>
          <w:sz w:val="24"/>
          <w:szCs w:val="24"/>
        </w:rPr>
      </w:pPr>
    </w:p>
    <w:p w14:paraId="538F32A7">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报告题目：基于新污染管控的污泥稳定化技术选择与土地利用风险评估    </w:t>
      </w:r>
    </w:p>
    <w:p w14:paraId="379706C3">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报告人：杨长明，同济大学环境科学与工程学院研究员，环境生态工程研究中心副主任，博士生导师</w:t>
      </w:r>
    </w:p>
    <w:p w14:paraId="37EB355E">
      <w:pPr>
        <w:spacing w:line="400" w:lineRule="exact"/>
        <w:rPr>
          <w:rFonts w:hint="eastAsia" w:ascii="黑体" w:hAnsi="黑体" w:eastAsia="黑体" w:cs="黑体"/>
          <w:b/>
          <w:bCs/>
          <w:color w:val="FF0000"/>
          <w:sz w:val="24"/>
          <w:szCs w:val="24"/>
        </w:rPr>
      </w:pPr>
    </w:p>
    <w:p w14:paraId="556B1869">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报告题目：污泥处理设施智能喷雾除臭技术及应用  </w:t>
      </w:r>
    </w:p>
    <w:p w14:paraId="08945601">
      <w:pPr>
        <w:spacing w:line="400" w:lineRule="exact"/>
        <w:rPr>
          <w:rFonts w:hint="eastAsia" w:ascii="黑体" w:hAnsi="黑体" w:eastAsia="黑体" w:cs="黑体"/>
          <w:b/>
          <w:bCs/>
          <w:color w:val="FF0000"/>
          <w:sz w:val="24"/>
          <w:szCs w:val="24"/>
          <w:lang w:eastAsia="zh-CN"/>
        </w:rPr>
      </w:pPr>
      <w:r>
        <w:rPr>
          <w:rFonts w:hint="eastAsia" w:ascii="黑体" w:hAnsi="黑体" w:eastAsia="黑体" w:cs="黑体"/>
          <w:b/>
          <w:bCs/>
          <w:color w:val="FF0000"/>
          <w:sz w:val="24"/>
          <w:szCs w:val="24"/>
        </w:rPr>
        <w:t>报告人：刘建伟，北京建筑大学环境与能源工程学院 教授，博士生导师</w:t>
      </w:r>
      <w:r>
        <w:rPr>
          <w:rFonts w:hint="eastAsia" w:ascii="黑体" w:hAnsi="黑体" w:eastAsia="黑体" w:cs="黑体"/>
          <w:b/>
          <w:bCs/>
          <w:color w:val="FF0000"/>
          <w:sz w:val="24"/>
          <w:szCs w:val="24"/>
          <w:lang w:eastAsia="zh-CN"/>
        </w:rPr>
        <w:t>（</w:t>
      </w:r>
      <w:r>
        <w:rPr>
          <w:rFonts w:hint="eastAsia" w:ascii="黑体" w:hAnsi="黑体" w:eastAsia="黑体" w:cs="黑体"/>
          <w:b/>
          <w:bCs/>
          <w:color w:val="FF0000"/>
          <w:sz w:val="24"/>
          <w:szCs w:val="24"/>
          <w:lang w:val="en-US" w:eastAsia="zh-CN"/>
        </w:rPr>
        <w:t>上午</w:t>
      </w:r>
      <w:r>
        <w:rPr>
          <w:rFonts w:hint="eastAsia" w:ascii="黑体" w:hAnsi="黑体" w:eastAsia="黑体" w:cs="黑体"/>
          <w:b/>
          <w:bCs/>
          <w:color w:val="FF0000"/>
          <w:sz w:val="24"/>
          <w:szCs w:val="24"/>
          <w:lang w:eastAsia="zh-CN"/>
        </w:rPr>
        <w:t>）</w:t>
      </w:r>
    </w:p>
    <w:p w14:paraId="3DB42062">
      <w:pPr>
        <w:spacing w:line="400" w:lineRule="exact"/>
        <w:rPr>
          <w:rFonts w:hint="eastAsia" w:ascii="黑体" w:hAnsi="黑体" w:eastAsia="黑体" w:cs="黑体"/>
          <w:b/>
          <w:bCs/>
          <w:color w:val="FF0000"/>
          <w:sz w:val="24"/>
          <w:szCs w:val="24"/>
        </w:rPr>
      </w:pPr>
    </w:p>
    <w:p w14:paraId="424B1609">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报告题目：无废城市背景下给水厂污泥低碳利用技术研究与应用 </w:t>
      </w:r>
    </w:p>
    <w:p w14:paraId="55992738">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报告人：上海市政工程设计研究总院（集团）有限公司   谭学军  总院副总工/教授级高工</w:t>
      </w:r>
    </w:p>
    <w:p w14:paraId="6F8261EA">
      <w:pPr>
        <w:spacing w:line="400" w:lineRule="exact"/>
        <w:rPr>
          <w:rFonts w:hint="eastAsia" w:ascii="黑体" w:hAnsi="黑体" w:eastAsia="黑体" w:cs="黑体"/>
          <w:b/>
          <w:bCs/>
          <w:color w:val="FF0000"/>
          <w:sz w:val="24"/>
          <w:szCs w:val="24"/>
        </w:rPr>
      </w:pPr>
    </w:p>
    <w:p w14:paraId="77F32E4A">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报告题目：基于自来水厂尾泥制备流态型固化管沟槽回填材料关键技术研究——从水务中来到水务中去</w:t>
      </w:r>
    </w:p>
    <w:p w14:paraId="4743B675">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报告人：常红晨，南京市城市建设投资控股（集团）有限责任公司副总工程师，正高级工程师</w:t>
      </w:r>
    </w:p>
    <w:p w14:paraId="60E12352">
      <w:pPr>
        <w:spacing w:line="400" w:lineRule="exact"/>
        <w:rPr>
          <w:rFonts w:hint="eastAsia" w:ascii="黑体" w:hAnsi="黑体" w:eastAsia="黑体" w:cs="黑体"/>
          <w:b/>
          <w:bCs/>
          <w:color w:val="FF0000"/>
          <w:sz w:val="24"/>
          <w:szCs w:val="24"/>
        </w:rPr>
      </w:pPr>
    </w:p>
    <w:p w14:paraId="7A65221D">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报告题目：同济牌高压带式污泥高干压滤机及药剂高效混合和Al药剂精控省药平台应用于污泥高干减量和降碳增效   </w:t>
      </w:r>
    </w:p>
    <w:p w14:paraId="641B8A31">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报告人：上海中耀环保实业有限公司  研发总监  杨文文</w:t>
      </w:r>
    </w:p>
    <w:p w14:paraId="78E0B457">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   </w:t>
      </w:r>
    </w:p>
    <w:p w14:paraId="5E5D4E62">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报告题目：高效污泥耦合减量化技术及应用   </w:t>
      </w:r>
    </w:p>
    <w:p w14:paraId="543932E2">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报告人：上海富产机械科技有限公司</w:t>
      </w:r>
      <w:r>
        <w:rPr>
          <w:rFonts w:hint="eastAsia" w:ascii="黑体" w:hAnsi="黑体" w:eastAsia="黑体" w:cs="黑体"/>
          <w:b/>
          <w:bCs/>
          <w:color w:val="FF0000"/>
          <w:sz w:val="24"/>
          <w:szCs w:val="24"/>
          <w:lang w:val="en-US" w:eastAsia="zh-CN"/>
        </w:rPr>
        <w:t xml:space="preserve">  </w:t>
      </w:r>
      <w:r>
        <w:rPr>
          <w:rFonts w:hint="eastAsia" w:ascii="黑体" w:hAnsi="黑体" w:eastAsia="黑体" w:cs="黑体"/>
          <w:b/>
          <w:bCs/>
          <w:color w:val="FF0000"/>
          <w:sz w:val="24"/>
          <w:szCs w:val="24"/>
        </w:rPr>
        <w:t>王磊</w:t>
      </w:r>
      <w:r>
        <w:rPr>
          <w:rFonts w:hint="eastAsia" w:ascii="黑体" w:hAnsi="黑体" w:eastAsia="黑体" w:cs="黑体"/>
          <w:b/>
          <w:bCs/>
          <w:color w:val="FF0000"/>
          <w:sz w:val="24"/>
          <w:szCs w:val="24"/>
          <w:lang w:val="en-US" w:eastAsia="zh-CN"/>
        </w:rPr>
        <w:t xml:space="preserve">  </w:t>
      </w:r>
      <w:r>
        <w:rPr>
          <w:rFonts w:hint="eastAsia" w:ascii="黑体" w:hAnsi="黑体" w:eastAsia="黑体" w:cs="黑体"/>
          <w:b/>
          <w:bCs/>
          <w:color w:val="FF0000"/>
          <w:sz w:val="24"/>
          <w:szCs w:val="24"/>
        </w:rPr>
        <w:t>总经理</w:t>
      </w:r>
    </w:p>
    <w:p w14:paraId="0195CC45">
      <w:pPr>
        <w:spacing w:line="400" w:lineRule="exact"/>
        <w:rPr>
          <w:rFonts w:hint="eastAsia" w:ascii="黑体" w:hAnsi="黑体" w:eastAsia="黑体" w:cs="黑体"/>
          <w:b/>
          <w:bCs/>
          <w:color w:val="FF0000"/>
          <w:sz w:val="24"/>
          <w:szCs w:val="24"/>
        </w:rPr>
      </w:pPr>
    </w:p>
    <w:p w14:paraId="4D0B4B91">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报告题目：《污泥减量化的发展趋势与高压带式深度脱水技术的工程应用思考   报告人：无锡买山环保装备有限公司</w:t>
      </w:r>
      <w:r>
        <w:rPr>
          <w:rFonts w:hint="eastAsia" w:ascii="黑体" w:hAnsi="黑体" w:eastAsia="黑体" w:cs="黑体"/>
          <w:b/>
          <w:bCs/>
          <w:color w:val="FF0000"/>
          <w:sz w:val="24"/>
          <w:szCs w:val="24"/>
          <w:lang w:val="en-US" w:eastAsia="zh-CN"/>
        </w:rPr>
        <w:t xml:space="preserve">  </w:t>
      </w:r>
      <w:r>
        <w:rPr>
          <w:rFonts w:hint="eastAsia" w:ascii="黑体" w:hAnsi="黑体" w:eastAsia="黑体" w:cs="黑体"/>
          <w:b/>
          <w:bCs/>
          <w:color w:val="FF0000"/>
          <w:sz w:val="24"/>
          <w:szCs w:val="24"/>
        </w:rPr>
        <w:t>王溢</w:t>
      </w:r>
      <w:r>
        <w:rPr>
          <w:rFonts w:hint="eastAsia" w:ascii="黑体" w:hAnsi="黑体" w:eastAsia="黑体" w:cs="黑体"/>
          <w:b/>
          <w:bCs/>
          <w:color w:val="FF0000"/>
          <w:sz w:val="24"/>
          <w:szCs w:val="24"/>
          <w:lang w:val="en-US" w:eastAsia="zh-CN"/>
        </w:rPr>
        <w:t xml:space="preserve">  </w:t>
      </w:r>
      <w:r>
        <w:rPr>
          <w:rFonts w:hint="eastAsia" w:ascii="黑体" w:hAnsi="黑体" w:eastAsia="黑体" w:cs="黑体"/>
          <w:b/>
          <w:bCs/>
          <w:color w:val="FF0000"/>
          <w:sz w:val="24"/>
          <w:szCs w:val="24"/>
        </w:rPr>
        <w:t>市场经理</w:t>
      </w:r>
    </w:p>
    <w:p w14:paraId="4F0DCFBD">
      <w:pPr>
        <w:spacing w:line="400" w:lineRule="exact"/>
        <w:rPr>
          <w:rFonts w:hint="eastAsia" w:ascii="黑体" w:hAnsi="黑体" w:eastAsia="黑体" w:cs="黑体"/>
          <w:b/>
          <w:bCs/>
          <w:color w:val="FF0000"/>
          <w:sz w:val="24"/>
          <w:szCs w:val="24"/>
        </w:rPr>
      </w:pPr>
    </w:p>
    <w:p w14:paraId="30E297EE">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 xml:space="preserve">报告题目：高效节能的污泥处理设备    </w:t>
      </w:r>
    </w:p>
    <w:p w14:paraId="7406F20C">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报告人：江苏凯亚环保科技有限公司  刘震 总经理</w:t>
      </w:r>
    </w:p>
    <w:p w14:paraId="64A09B62">
      <w:pPr>
        <w:spacing w:line="400" w:lineRule="exact"/>
        <w:rPr>
          <w:rFonts w:hint="eastAsia" w:ascii="黑体" w:hAnsi="黑体" w:eastAsia="黑体" w:cs="黑体"/>
          <w:b/>
          <w:bCs/>
          <w:color w:val="FF0000"/>
          <w:sz w:val="24"/>
          <w:szCs w:val="24"/>
        </w:rPr>
      </w:pPr>
    </w:p>
    <w:p w14:paraId="6E2B0539">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报告题目：污泥处理处置的低碳路径构建与实践</w:t>
      </w:r>
    </w:p>
    <w:p w14:paraId="56C89A38">
      <w:pPr>
        <w:spacing w:line="400" w:lineRule="exact"/>
        <w:rPr>
          <w:rFonts w:hint="eastAsia" w:ascii="黑体" w:hAnsi="黑体" w:eastAsia="黑体" w:cs="黑体"/>
          <w:b/>
          <w:bCs/>
          <w:color w:val="FF0000"/>
          <w:sz w:val="24"/>
          <w:szCs w:val="24"/>
        </w:rPr>
      </w:pPr>
      <w:r>
        <w:rPr>
          <w:rFonts w:hint="eastAsia" w:asciiTheme="minorEastAsia" w:hAnsiTheme="minorEastAsia" w:eastAsiaTheme="minorEastAsia" w:cstheme="minorEastAsia"/>
          <w:b/>
          <w:bCs/>
          <w:color w:val="FF0000"/>
          <w:sz w:val="24"/>
          <w:szCs w:val="24"/>
          <w:lang w:val="en-US" w:eastAsia="zh-CN"/>
        </w:rPr>
        <w:t>报告人：程忠红，苏伊士亚洲 高级技术推广经理</w:t>
      </w:r>
      <w:r>
        <w:rPr>
          <w:rFonts w:hint="eastAsia" w:ascii="黑体" w:hAnsi="黑体" w:eastAsia="黑体" w:cs="黑体"/>
          <w:b/>
          <w:bCs/>
          <w:color w:val="FF0000"/>
          <w:sz w:val="24"/>
          <w:szCs w:val="24"/>
        </w:rPr>
        <w:t xml:space="preserve">   </w:t>
      </w:r>
    </w:p>
    <w:p w14:paraId="0BBB7DCD">
      <w:pPr>
        <w:spacing w:line="400" w:lineRule="exact"/>
        <w:rPr>
          <w:rFonts w:hint="eastAsia" w:ascii="黑体" w:hAnsi="黑体" w:eastAsia="黑体" w:cs="黑体"/>
          <w:b/>
          <w:bCs/>
          <w:color w:val="FF0000"/>
          <w:sz w:val="24"/>
          <w:szCs w:val="24"/>
        </w:rPr>
      </w:pPr>
    </w:p>
    <w:p w14:paraId="32D5C60A">
      <w:pPr>
        <w:spacing w:line="400" w:lineRule="exact"/>
        <w:rPr>
          <w:rFonts w:hint="eastAsia" w:ascii="黑体" w:hAnsi="黑体" w:eastAsia="黑体" w:cs="黑体"/>
          <w:b/>
          <w:bCs/>
          <w:color w:val="FF0000"/>
          <w:sz w:val="24"/>
          <w:szCs w:val="24"/>
        </w:rPr>
      </w:pPr>
      <w:r>
        <w:rPr>
          <w:rFonts w:hint="eastAsia" w:ascii="黑体" w:hAnsi="黑体" w:eastAsia="黑体" w:cs="黑体"/>
          <w:b/>
          <w:bCs/>
          <w:color w:val="FF0000"/>
          <w:sz w:val="24"/>
          <w:szCs w:val="24"/>
        </w:rPr>
        <w:t>报告正在征集完善中</w:t>
      </w:r>
    </w:p>
    <w:p w14:paraId="6898221C">
      <w:pPr>
        <w:spacing w:line="400" w:lineRule="exact"/>
        <w:rPr>
          <w:rFonts w:hint="eastAsia" w:ascii="黑体" w:hAnsi="黑体" w:eastAsia="黑体" w:cs="黑体"/>
          <w:b/>
          <w:bCs/>
          <w:color w:val="FF0000"/>
          <w:sz w:val="24"/>
          <w:szCs w:val="24"/>
        </w:rPr>
      </w:pPr>
    </w:p>
    <w:p w14:paraId="769A5C43">
      <w:pPr>
        <w:spacing w:line="400" w:lineRule="exact"/>
        <w:rPr>
          <w:rFonts w:hint="eastAsia" w:ascii="黑体" w:hAnsi="黑体" w:eastAsia="黑体" w:cs="黑体"/>
          <w:b/>
          <w:bCs/>
          <w:color w:val="FF0000"/>
          <w:sz w:val="24"/>
          <w:szCs w:val="24"/>
        </w:rPr>
      </w:pPr>
      <w:bookmarkStart w:id="2" w:name="_GoBack"/>
      <w:bookmarkEnd w:id="2"/>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DB9692E">
      <w:pPr>
        <w:pStyle w:val="8"/>
        <w:widowControl w:val="0"/>
        <w:spacing w:before="0" w:beforeAutospacing="0" w:after="0" w:afterAutospacing="0" w:line="300" w:lineRule="exact"/>
        <w:jc w:val="both"/>
        <w:rPr>
          <w:rFonts w:hint="eastAsia"/>
          <w:b/>
          <w:bCs/>
          <w:color w:val="000000"/>
        </w:rPr>
      </w:pPr>
      <w:r>
        <w:rPr>
          <w:rFonts w:hint="eastAsia"/>
          <w:b/>
          <w:bCs/>
          <w:color w:val="000000"/>
        </w:rPr>
        <w:t>地址：天津市和平区新兴路52号都市花园大厦21</w:t>
      </w:r>
    </w:p>
    <w:p w14:paraId="253B8455">
      <w:pPr>
        <w:spacing w:line="400" w:lineRule="exact"/>
        <w:rPr>
          <w:rFonts w:hint="eastAsia" w:ascii="黑体" w:hAnsi="黑体" w:eastAsia="黑体" w:cs="黑体"/>
          <w:b/>
          <w:bCs/>
          <w:color w:val="FF0000"/>
          <w:sz w:val="24"/>
          <w:szCs w:val="24"/>
        </w:rPr>
      </w:pP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2114"/>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94D"/>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2BC"/>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085F"/>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18C33F1"/>
    <w:rsid w:val="028B7ACA"/>
    <w:rsid w:val="03A71CD0"/>
    <w:rsid w:val="05300538"/>
    <w:rsid w:val="05342FB3"/>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995EB1"/>
    <w:rsid w:val="11AB4C56"/>
    <w:rsid w:val="12163467"/>
    <w:rsid w:val="12F97E17"/>
    <w:rsid w:val="1367781A"/>
    <w:rsid w:val="13711A3B"/>
    <w:rsid w:val="13A475AD"/>
    <w:rsid w:val="16681976"/>
    <w:rsid w:val="16895CFA"/>
    <w:rsid w:val="16AA063C"/>
    <w:rsid w:val="16C62AAA"/>
    <w:rsid w:val="16EF3DAF"/>
    <w:rsid w:val="180F5B27"/>
    <w:rsid w:val="18341AE3"/>
    <w:rsid w:val="18720CCA"/>
    <w:rsid w:val="199B021E"/>
    <w:rsid w:val="1A0A0EFF"/>
    <w:rsid w:val="1AB8083A"/>
    <w:rsid w:val="1B0071E4"/>
    <w:rsid w:val="1B2B55D1"/>
    <w:rsid w:val="1BB84942"/>
    <w:rsid w:val="1D944416"/>
    <w:rsid w:val="1DD0420E"/>
    <w:rsid w:val="1E755657"/>
    <w:rsid w:val="1F550E6F"/>
    <w:rsid w:val="20F4534A"/>
    <w:rsid w:val="21DC7E89"/>
    <w:rsid w:val="22C77C89"/>
    <w:rsid w:val="240864B0"/>
    <w:rsid w:val="25AD37DC"/>
    <w:rsid w:val="263279BE"/>
    <w:rsid w:val="26525767"/>
    <w:rsid w:val="26DD1E76"/>
    <w:rsid w:val="2774029E"/>
    <w:rsid w:val="27B5694E"/>
    <w:rsid w:val="27DE33A2"/>
    <w:rsid w:val="280E3822"/>
    <w:rsid w:val="294B50D5"/>
    <w:rsid w:val="2A3A75DF"/>
    <w:rsid w:val="2AB253C7"/>
    <w:rsid w:val="2B0C7703"/>
    <w:rsid w:val="2C132ED9"/>
    <w:rsid w:val="2D89512B"/>
    <w:rsid w:val="2DDA3AE8"/>
    <w:rsid w:val="2E7A09C8"/>
    <w:rsid w:val="2EE35F53"/>
    <w:rsid w:val="2F48454C"/>
    <w:rsid w:val="313948C9"/>
    <w:rsid w:val="31A35A6A"/>
    <w:rsid w:val="329B01DC"/>
    <w:rsid w:val="342D3D10"/>
    <w:rsid w:val="34983880"/>
    <w:rsid w:val="34EC013B"/>
    <w:rsid w:val="34EE0D7A"/>
    <w:rsid w:val="350B7043"/>
    <w:rsid w:val="35165698"/>
    <w:rsid w:val="359D417E"/>
    <w:rsid w:val="35DA1C76"/>
    <w:rsid w:val="366047A4"/>
    <w:rsid w:val="36AB3FD2"/>
    <w:rsid w:val="3779094E"/>
    <w:rsid w:val="37D41C80"/>
    <w:rsid w:val="383513E6"/>
    <w:rsid w:val="38763ED8"/>
    <w:rsid w:val="38806B05"/>
    <w:rsid w:val="38A74091"/>
    <w:rsid w:val="39A97171"/>
    <w:rsid w:val="39C765C0"/>
    <w:rsid w:val="39EB7CCD"/>
    <w:rsid w:val="3AA031F2"/>
    <w:rsid w:val="3AD962A2"/>
    <w:rsid w:val="3BED231E"/>
    <w:rsid w:val="3C7C70D7"/>
    <w:rsid w:val="3E3D0FF4"/>
    <w:rsid w:val="3F2C3542"/>
    <w:rsid w:val="3FB01139"/>
    <w:rsid w:val="3FDD7C87"/>
    <w:rsid w:val="3FF57CD7"/>
    <w:rsid w:val="403631D4"/>
    <w:rsid w:val="42ED2FE9"/>
    <w:rsid w:val="438C2802"/>
    <w:rsid w:val="43C5095E"/>
    <w:rsid w:val="441F577B"/>
    <w:rsid w:val="445E7106"/>
    <w:rsid w:val="45124CCB"/>
    <w:rsid w:val="477B6001"/>
    <w:rsid w:val="497E5577"/>
    <w:rsid w:val="49A70A27"/>
    <w:rsid w:val="4ACF0D42"/>
    <w:rsid w:val="4B1530DD"/>
    <w:rsid w:val="4B910F25"/>
    <w:rsid w:val="4C1D0C32"/>
    <w:rsid w:val="4C480112"/>
    <w:rsid w:val="4C4874E2"/>
    <w:rsid w:val="4D0C317C"/>
    <w:rsid w:val="4D1942A9"/>
    <w:rsid w:val="4D3C320F"/>
    <w:rsid w:val="4D7F6F33"/>
    <w:rsid w:val="4DAE33A9"/>
    <w:rsid w:val="4FF37764"/>
    <w:rsid w:val="500B7B46"/>
    <w:rsid w:val="50E83EC0"/>
    <w:rsid w:val="528648C0"/>
    <w:rsid w:val="53BF13F1"/>
    <w:rsid w:val="53CD30E1"/>
    <w:rsid w:val="55704ABA"/>
    <w:rsid w:val="55BA1450"/>
    <w:rsid w:val="56327239"/>
    <w:rsid w:val="570005E4"/>
    <w:rsid w:val="5705494D"/>
    <w:rsid w:val="57CD7B79"/>
    <w:rsid w:val="591B2771"/>
    <w:rsid w:val="59213594"/>
    <w:rsid w:val="59BB73DF"/>
    <w:rsid w:val="5B3F6E58"/>
    <w:rsid w:val="5BA11084"/>
    <w:rsid w:val="5C3D5468"/>
    <w:rsid w:val="5C904CB9"/>
    <w:rsid w:val="5C9D73D6"/>
    <w:rsid w:val="5EC50753"/>
    <w:rsid w:val="5F3F4774"/>
    <w:rsid w:val="5F7E4056"/>
    <w:rsid w:val="5FA541B5"/>
    <w:rsid w:val="6017021D"/>
    <w:rsid w:val="60CB23C4"/>
    <w:rsid w:val="60F7332A"/>
    <w:rsid w:val="64032214"/>
    <w:rsid w:val="648D1A86"/>
    <w:rsid w:val="64AB5BC8"/>
    <w:rsid w:val="6531690D"/>
    <w:rsid w:val="65426513"/>
    <w:rsid w:val="671D183F"/>
    <w:rsid w:val="68354966"/>
    <w:rsid w:val="68873965"/>
    <w:rsid w:val="68DC4AC5"/>
    <w:rsid w:val="68FB3A5E"/>
    <w:rsid w:val="69196036"/>
    <w:rsid w:val="694109EF"/>
    <w:rsid w:val="69605A13"/>
    <w:rsid w:val="69992CD3"/>
    <w:rsid w:val="69B1341E"/>
    <w:rsid w:val="69BA3375"/>
    <w:rsid w:val="69DA3A17"/>
    <w:rsid w:val="6A9C59D3"/>
    <w:rsid w:val="6AFC4C3C"/>
    <w:rsid w:val="6C066D46"/>
    <w:rsid w:val="6CF9436E"/>
    <w:rsid w:val="6D1E1E6D"/>
    <w:rsid w:val="6D8815D0"/>
    <w:rsid w:val="701C532F"/>
    <w:rsid w:val="70295B9D"/>
    <w:rsid w:val="711D41EA"/>
    <w:rsid w:val="72AA0EB0"/>
    <w:rsid w:val="73937BFF"/>
    <w:rsid w:val="7469144C"/>
    <w:rsid w:val="75400277"/>
    <w:rsid w:val="75D03F20"/>
    <w:rsid w:val="75E31EA6"/>
    <w:rsid w:val="774C5829"/>
    <w:rsid w:val="77CF1D1D"/>
    <w:rsid w:val="78627EE7"/>
    <w:rsid w:val="78B91D5C"/>
    <w:rsid w:val="79240D89"/>
    <w:rsid w:val="797E494A"/>
    <w:rsid w:val="7AB37718"/>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2685</Words>
  <Characters>2882</Characters>
  <Lines>18</Lines>
  <Paragraphs>5</Paragraphs>
  <TotalTime>1</TotalTime>
  <ScaleCrop>false</ScaleCrop>
  <LinksUpToDate>false</LinksUpToDate>
  <CharactersWithSpaces>3003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2026-05-14T08:43:00Z</dcterms:created>
  <dc:creator>Wang</dc:creator>
  <cp:lastModifiedBy>王领全  中国给水排水 13752275003</cp:lastModifiedBy>
  <cp:lastPrinted>2025-10-11T06:02:00Z</cp:lastPrinted>
  <dcterms:modified xsi:type="dcterms:W3CDTF">2026-06-02T03:43:08Z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3A67F7DDAF0F40FB8C7E2E64405EDB34_13</vt:lpwstr>
  </property>
  <property fmtid="{D5CDD505-2E9C-101B-9397-08002B2CF9AE}" pid="4" name="KSOTemplateDocerSaveRecord">
    <vt:lpwstr>eyJoZGlkIjoiZmRiMmEyM2MwNjcxZTRkNjI0M2YxOWNjODI4MTk0NjkiLCJ1c2VySWQiOiI0MDg4NDcwOTAifQ==</vt:lpwstr>
  </property>
</Properties>
</file>